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6B" w:rsidRPr="008522E2" w:rsidRDefault="008D6CAB" w:rsidP="00C11428">
      <w:pPr>
        <w:spacing w:after="0" w:line="240" w:lineRule="auto"/>
        <w:jc w:val="both"/>
        <w:rPr>
          <w:rFonts w:ascii="Iskoola Pota" w:hAnsi="Iskoola Pota" w:cs="Iskoola Pota"/>
          <w:sz w:val="28"/>
          <w:szCs w:val="28"/>
          <w:u w:val="single"/>
        </w:rPr>
      </w:pPr>
      <w:r w:rsidRPr="008522E2">
        <w:rPr>
          <w:rFonts w:ascii="Iskoola Pota" w:hAnsi="Iskoola Pota" w:cs="Iskoola Pota"/>
          <w:b/>
          <w:sz w:val="28"/>
          <w:szCs w:val="28"/>
          <w:u w:val="single"/>
          <w:cs/>
          <w:lang w:bidi="si-LK"/>
        </w:rPr>
        <w:t>තොරතුරු විමසීම් පත්‍රිකාව - බොරතෙල් පසු නිෂ්පාදන</w:t>
      </w:r>
      <w:r w:rsidR="00D27E70" w:rsidRPr="008522E2">
        <w:rPr>
          <w:rFonts w:ascii="Iskoola Pota" w:hAnsi="Iskoola Pota" w:cs="Iskoola Pota"/>
          <w:b/>
          <w:sz w:val="28"/>
          <w:szCs w:val="28"/>
          <w:u w:val="single"/>
          <w:cs/>
          <w:lang w:bidi="si-LK"/>
        </w:rPr>
        <w:t xml:space="preserve"> ආශ්‍රිත කර්මාන්තය</w:t>
      </w:r>
    </w:p>
    <w:p w:rsidR="0002156B" w:rsidRPr="008522E2" w:rsidRDefault="0002156B" w:rsidP="00C11428">
      <w:pPr>
        <w:spacing w:after="0" w:line="240" w:lineRule="auto"/>
        <w:jc w:val="both"/>
        <w:rPr>
          <w:rFonts w:ascii="Iskoola Pota" w:hAnsi="Iskoola Pota" w:cs="Iskoola Pota"/>
          <w:sz w:val="24"/>
          <w:szCs w:val="24"/>
        </w:rPr>
      </w:pPr>
    </w:p>
    <w:p w:rsidR="00D27E70" w:rsidRPr="008522E2" w:rsidRDefault="00D27E70" w:rsidP="00C11428">
      <w:pPr>
        <w:widowControl w:val="0"/>
        <w:autoSpaceDE w:val="0"/>
        <w:autoSpaceDN w:val="0"/>
        <w:adjustRightInd w:val="0"/>
        <w:spacing w:after="0" w:line="240" w:lineRule="auto"/>
        <w:jc w:val="both"/>
        <w:rPr>
          <w:rFonts w:ascii="Iskoola Pota" w:hAnsi="Iskoola Pota" w:cs="Iskoola Pota"/>
          <w:b/>
          <w:bCs/>
          <w:sz w:val="24"/>
          <w:szCs w:val="24"/>
          <w:lang w:bidi="si-LK"/>
        </w:rPr>
      </w:pPr>
      <w:r w:rsidRPr="008522E2">
        <w:rPr>
          <w:rFonts w:ascii="Iskoola Pota" w:hAnsi="Iskoola Pota" w:cs="Iskoola Pota"/>
          <w:b/>
          <w:bCs/>
          <w:sz w:val="24"/>
          <w:szCs w:val="24"/>
          <w:cs/>
          <w:lang w:bidi="si-LK"/>
        </w:rPr>
        <w:t>පසුබිම</w:t>
      </w:r>
    </w:p>
    <w:p w:rsidR="00D27E70" w:rsidRPr="008522E2" w:rsidRDefault="00D27E70" w:rsidP="00C11428">
      <w:pPr>
        <w:widowControl w:val="0"/>
        <w:autoSpaceDE w:val="0"/>
        <w:autoSpaceDN w:val="0"/>
        <w:adjustRightInd w:val="0"/>
        <w:spacing w:after="0" w:line="240" w:lineRule="auto"/>
        <w:jc w:val="both"/>
        <w:rPr>
          <w:rFonts w:ascii="Iskoola Pota" w:hAnsi="Iskoola Pota" w:cs="Iskoola Pota"/>
          <w:b/>
          <w:bCs/>
          <w:sz w:val="24"/>
          <w:szCs w:val="24"/>
          <w:lang w:bidi="si-LK"/>
        </w:rPr>
      </w:pPr>
    </w:p>
    <w:p w:rsidR="00D27E70" w:rsidRPr="008522E2" w:rsidRDefault="00D27E70" w:rsidP="00C11428">
      <w:pPr>
        <w:widowControl w:val="0"/>
        <w:autoSpaceDE w:val="0"/>
        <w:autoSpaceDN w:val="0"/>
        <w:adjustRightInd w:val="0"/>
        <w:spacing w:after="0" w:line="240" w:lineRule="auto"/>
        <w:jc w:val="both"/>
        <w:rPr>
          <w:rFonts w:ascii="Iskoola Pota" w:hAnsi="Iskoola Pota" w:cs="Iskoola Pota"/>
          <w:b/>
          <w:bCs/>
          <w:sz w:val="24"/>
          <w:szCs w:val="24"/>
          <w:lang w:bidi="si-LK"/>
        </w:rPr>
      </w:pPr>
      <w:r w:rsidRPr="008522E2">
        <w:rPr>
          <w:rFonts w:ascii="Iskoola Pota" w:hAnsi="Iskoola Pota" w:cs="Iskoola Pota"/>
          <w:b/>
          <w:bCs/>
          <w:sz w:val="24"/>
          <w:szCs w:val="24"/>
          <w:cs/>
          <w:lang w:bidi="si-LK"/>
        </w:rPr>
        <w:t>බොරතෙල් පසු නිෂ්පාදන ආශ්‍රිත කර්මාන්තය බොරතෙල් ආනයනය සහ පිරිපහදුව මෙන්ම පෙට්‍රල්, ඩීසල්, භූමිතෙල්, දැවිතෙල්, ද්‍රවීකරණය කළ ඛනිජ තෙල් වායු, නාවික ඉන්ධන, ගුවන් ඉන්ධන, නැෆ්තා, තාර මෙන්ම</w:t>
      </w:r>
      <w:r w:rsidR="00C11428" w:rsidRPr="008522E2">
        <w:rPr>
          <w:rFonts w:ascii="Iskoola Pota" w:hAnsi="Iskoola Pota" w:cs="Iskoola Pota"/>
          <w:b/>
          <w:bCs/>
          <w:sz w:val="24"/>
          <w:szCs w:val="24"/>
          <w:cs/>
          <w:lang w:bidi="si-LK"/>
        </w:rPr>
        <w:t xml:space="preserve"> ග්‍රීස්ද ඇතුළත් සෙසු ඛනිජ තෙල් නිෂ්පාදන හා ලිහිසි තෙල් බඳු ඛනිජතෙල් නිෂ්පාදන ආනයනය, අපනයනය, බෙදාහරීම, සැපයීම හා අලෙවිය යන අංශයන්ගෙන් සමන්විත වේ. එය සංශෝධිත 1961 අංක 28 දරන ලංකා ඛනිජතෙල් </w:t>
      </w:r>
      <w:r w:rsidR="008522E2">
        <w:rPr>
          <w:rFonts w:ascii="Iskoola Pota" w:hAnsi="Iskoola Pota" w:cs="Iskoola Pota" w:hint="cs"/>
          <w:b/>
          <w:bCs/>
          <w:sz w:val="24"/>
          <w:szCs w:val="24"/>
          <w:cs/>
          <w:lang w:bidi="si-LK"/>
        </w:rPr>
        <w:t xml:space="preserve">නීතිගත </w:t>
      </w:r>
      <w:r w:rsidR="00C11428" w:rsidRPr="008522E2">
        <w:rPr>
          <w:rFonts w:ascii="Iskoola Pota" w:hAnsi="Iskoola Pota" w:cs="Iskoola Pota"/>
          <w:b/>
          <w:bCs/>
          <w:sz w:val="24"/>
          <w:szCs w:val="24"/>
          <w:cs/>
          <w:lang w:bidi="si-LK"/>
        </w:rPr>
        <w:t>සංස්ථා පනත සහ 2002 අංක 33 දරන ඛනිජතෙල් නිෂ්පාදන (විශේෂ විධිවිධාන) පනත මගින් මූලික වශයෙන් පාලනය වේ.</w:t>
      </w:r>
    </w:p>
    <w:p w:rsidR="009C1D36" w:rsidRPr="008522E2" w:rsidRDefault="009C1D36" w:rsidP="00C11428">
      <w:pPr>
        <w:widowControl w:val="0"/>
        <w:autoSpaceDE w:val="0"/>
        <w:autoSpaceDN w:val="0"/>
        <w:adjustRightInd w:val="0"/>
        <w:spacing w:after="0" w:line="240" w:lineRule="auto"/>
        <w:jc w:val="both"/>
        <w:rPr>
          <w:rFonts w:ascii="Iskoola Pota" w:hAnsi="Iskoola Pota" w:cs="Iskoola Pota"/>
          <w:b/>
          <w:bCs/>
          <w:sz w:val="24"/>
          <w:szCs w:val="24"/>
          <w:lang w:bidi="si-LK"/>
        </w:rPr>
      </w:pPr>
    </w:p>
    <w:p w:rsidR="00C11428" w:rsidRPr="008522E2" w:rsidRDefault="009C1D36" w:rsidP="00C11428">
      <w:pPr>
        <w:widowControl w:val="0"/>
        <w:autoSpaceDE w:val="0"/>
        <w:autoSpaceDN w:val="0"/>
        <w:adjustRightInd w:val="0"/>
        <w:spacing w:after="0" w:line="240" w:lineRule="auto"/>
        <w:jc w:val="both"/>
        <w:rPr>
          <w:rFonts w:ascii="Iskoola Pota" w:hAnsi="Iskoola Pota" w:cs="Iskoola Pota"/>
          <w:sz w:val="24"/>
          <w:szCs w:val="24"/>
          <w:lang w:bidi="si-LK"/>
        </w:rPr>
      </w:pPr>
      <w:r w:rsidRPr="008522E2">
        <w:rPr>
          <w:rFonts w:ascii="Iskoola Pota" w:hAnsi="Iskoola Pota" w:cs="Iskoola Pota"/>
          <w:b/>
          <w:bCs/>
          <w:sz w:val="24"/>
          <w:szCs w:val="24"/>
          <w:cs/>
          <w:lang w:bidi="si-LK"/>
        </w:rPr>
        <w:t xml:space="preserve">බොරතෙල් පසු නිෂ්පාදන ආශ්‍රිත ඛනිජතෙල් කර්මාන්තයේ සියළු කාර්යයනටම පාහේ ලංකා ඛනිජතෙල් නීතිගත සංස්ථාව </w:t>
      </w:r>
      <w:r w:rsidRPr="008522E2">
        <w:rPr>
          <w:rFonts w:ascii="Iskoola Pota" w:hAnsi="Iskoola Pota" w:cs="Iskoola Pota"/>
          <w:sz w:val="24"/>
          <w:szCs w:val="24"/>
        </w:rPr>
        <w:t xml:space="preserve">(CPC) </w:t>
      </w:r>
      <w:r w:rsidRPr="008522E2">
        <w:rPr>
          <w:rFonts w:ascii="Iskoola Pota" w:hAnsi="Iskoola Pota" w:cs="Iskoola Pota"/>
          <w:b/>
          <w:bCs/>
          <w:sz w:val="24"/>
          <w:szCs w:val="24"/>
          <w:cs/>
          <w:lang w:bidi="si-LK"/>
        </w:rPr>
        <w:t>වගකිවයුතු වූ අතර, කාලයාගේ අවෑමෙන්</w:t>
      </w:r>
      <w:r w:rsidR="00DD56DB" w:rsidRPr="008522E2">
        <w:rPr>
          <w:rFonts w:ascii="Iskoola Pota" w:hAnsi="Iskoola Pota" w:cs="Iskoola Pota"/>
          <w:b/>
          <w:bCs/>
          <w:sz w:val="24"/>
          <w:szCs w:val="24"/>
          <w:cs/>
          <w:lang w:bidi="si-LK"/>
        </w:rPr>
        <w:t xml:space="preserve"> සිය ලිහිසි තෙල්, ද්‍රවීකරණය කළ ඛනිජ තෙල් ගෑස</w:t>
      </w:r>
      <w:r w:rsidR="008522E2">
        <w:rPr>
          <w:rFonts w:ascii="Iskoola Pota" w:hAnsi="Iskoola Pota" w:cs="Iskoola Pota" w:hint="cs"/>
          <w:b/>
          <w:bCs/>
          <w:sz w:val="24"/>
          <w:szCs w:val="24"/>
          <w:cs/>
          <w:lang w:bidi="si-LK"/>
        </w:rPr>
        <w:t>්</w:t>
      </w:r>
      <w:r w:rsidR="00DD56DB" w:rsidRPr="008522E2">
        <w:rPr>
          <w:rFonts w:ascii="Iskoola Pota" w:hAnsi="Iskoola Pota" w:cs="Iskoola Pota"/>
          <w:b/>
          <w:bCs/>
          <w:sz w:val="24"/>
          <w:szCs w:val="24"/>
          <w:cs/>
          <w:lang w:bidi="si-LK"/>
        </w:rPr>
        <w:t xml:space="preserve"> සහ නාවික ඉන්ධන ඒකකගත අලෙවි කිරීම් සිදුකරමින්, පුද්ගලීකරණය හා ලිබරල්කරණයකටද බඳුන්ව කර්මාන්තය ව්‍යුහාත්මක ප්‍රතිසංස්කරණයකට  ලක්වී ඇත. දෙවන මෙහෙයුම්කරුවෙකුගේ ප්‍රවේශය සහ බෙදාහැරීම හා සැපයුමට අදාළ ප්‍රධාන පහසුකම් ඒකකග කිරීම සමගින් ඛනිජතෙල් ඉන්ධන සම්බන්ධ කටයුතුද ප්‍රතිසංස්කරණයට ලක්වී ඇත. ලංකා ඛනිජතෙල් නීතිගත සංස්ථාව විසින් තවදුරටත් බොරතෙල් ආනයනය හා පිරිපහදුවට මෙන්ම ගුවන් සේවා ඉන්ධන ආනයනය, අපනයනය, අලෙවිය හා සැපයුම සම්බන්ධයෙන්ද ඒකාධිකාරියක් පවත්වාගෙන යනු ලබයි.</w:t>
      </w:r>
    </w:p>
    <w:p w:rsidR="00BE22C5" w:rsidRPr="008522E2" w:rsidRDefault="00BE22C5" w:rsidP="00C11428">
      <w:pPr>
        <w:widowControl w:val="0"/>
        <w:autoSpaceDE w:val="0"/>
        <w:autoSpaceDN w:val="0"/>
        <w:adjustRightInd w:val="0"/>
        <w:spacing w:after="0" w:line="240" w:lineRule="auto"/>
        <w:jc w:val="both"/>
        <w:rPr>
          <w:rFonts w:ascii="Iskoola Pota" w:hAnsi="Iskoola Pota" w:cs="Iskoola Pota"/>
          <w:sz w:val="24"/>
          <w:szCs w:val="24"/>
        </w:rPr>
      </w:pPr>
    </w:p>
    <w:p w:rsidR="00E9315C" w:rsidRPr="008522E2" w:rsidRDefault="00136D3A" w:rsidP="00C11428">
      <w:pPr>
        <w:widowControl w:val="0"/>
        <w:autoSpaceDE w:val="0"/>
        <w:autoSpaceDN w:val="0"/>
        <w:adjustRightInd w:val="0"/>
        <w:spacing w:after="0" w:line="240" w:lineRule="auto"/>
        <w:jc w:val="both"/>
        <w:rPr>
          <w:rFonts w:ascii="Iskoola Pota" w:hAnsi="Iskoola Pota" w:cs="Iskoola Pota"/>
          <w:lang w:bidi="si-LK"/>
        </w:rPr>
      </w:pPr>
      <w:r w:rsidRPr="008522E2">
        <w:rPr>
          <w:rFonts w:ascii="Iskoola Pota" w:hAnsi="Iskoola Pota" w:cs="Iskoola Pota"/>
          <w:cs/>
          <w:lang w:bidi="si-LK"/>
        </w:rPr>
        <w:t>ඉහත</w:t>
      </w:r>
      <w:r w:rsidRPr="008522E2">
        <w:rPr>
          <w:rFonts w:ascii="Iskoola Pota" w:hAnsi="Iskoola Pota" w:cs="Iskoola Pota"/>
          <w:rtl/>
          <w:cs/>
        </w:rPr>
        <w:t xml:space="preserve"> </w:t>
      </w:r>
      <w:r w:rsidRPr="008522E2">
        <w:rPr>
          <w:rFonts w:ascii="Iskoola Pota" w:hAnsi="Iskoola Pota" w:cs="Iskoola Pota"/>
          <w:cs/>
          <w:lang w:bidi="si-LK"/>
        </w:rPr>
        <w:t xml:space="preserve">කරුණු අනුව, විවිධ මට්ටමේ තරගකාරිත්වයන් සහ නියාමන අධීක්ෂණය අවම හෝ ශුන්‍ය මට්ටමේ පවත්නාවූ විවිධ වෙළඳපල ගණනාවක් කර්මාන්තය තුළ පවතී. මෙපරිදි, නිෂ්පාදන හා සේවාවන්හි මිල මෙන්ම ගුණාත්මකභාවයද නියාමනය කරමින් පාරිභෝගික අභිලාශයන් ආරක්ෂා කිරීමේ යාන්ත්‍රණයක් නොමැත. අපාරදෘශ්‍ය හා අසාධාරණ මිල ගණන්, අව-ප්‍රමිතිගත හා </w:t>
      </w:r>
      <w:r w:rsidR="00F45375" w:rsidRPr="008522E2">
        <w:rPr>
          <w:rFonts w:ascii="Iskoola Pota" w:hAnsi="Iskoola Pota" w:cs="Iskoola Pota"/>
          <w:cs/>
          <w:lang w:bidi="si-LK"/>
        </w:rPr>
        <w:t>බාල නිෂ්පාදන, අනාරක්ෂිත නිෂ්පාදන පරිහරණය, පාරිභෝගික දුක්ගැනවිලි යාන්ත්‍රණයක් නොමැතිවීම ඛනිජතෙල් ඉන්ධන ප්‍රධාන කොටගත් පාරිභෝගිකයනට බලපාන්නාවූ ගැටළු වේ.</w:t>
      </w:r>
    </w:p>
    <w:p w:rsidR="00F45375" w:rsidRPr="008522E2" w:rsidRDefault="00F45375" w:rsidP="00C11428">
      <w:pPr>
        <w:widowControl w:val="0"/>
        <w:autoSpaceDE w:val="0"/>
        <w:autoSpaceDN w:val="0"/>
        <w:adjustRightInd w:val="0"/>
        <w:spacing w:after="0" w:line="240" w:lineRule="auto"/>
        <w:jc w:val="both"/>
        <w:rPr>
          <w:rFonts w:ascii="Iskoola Pota" w:hAnsi="Iskoola Pota" w:cs="Iskoola Pota"/>
          <w:lang w:bidi="si-LK"/>
        </w:rPr>
      </w:pPr>
    </w:p>
    <w:p w:rsidR="00F45375" w:rsidRPr="008522E2" w:rsidRDefault="00F45375" w:rsidP="00C11428">
      <w:pPr>
        <w:widowControl w:val="0"/>
        <w:autoSpaceDE w:val="0"/>
        <w:autoSpaceDN w:val="0"/>
        <w:adjustRightInd w:val="0"/>
        <w:spacing w:after="0" w:line="240" w:lineRule="auto"/>
        <w:jc w:val="both"/>
        <w:rPr>
          <w:rFonts w:ascii="Iskoola Pota" w:hAnsi="Iskoola Pota" w:cs="Iskoola Pota"/>
          <w:lang w:bidi="si-LK"/>
        </w:rPr>
      </w:pPr>
      <w:r w:rsidRPr="008522E2">
        <w:rPr>
          <w:rFonts w:ascii="Iskoola Pota" w:hAnsi="Iskoola Pota" w:cs="Iskoola Pota"/>
          <w:cs/>
          <w:lang w:bidi="si-LK"/>
        </w:rPr>
        <w:t>වර්තමානයේදී, බොරතෙල් පසු නිෂ්පාදන ආශ්‍රිත ඛනිජතෙල් කර්මාන්තය නියාමනය කිරීමේ සම්පූර්ණ බලය ඛනිජතෙල් විෂය භාර අමාත්‍යවරයා සතුය. කෙසේ වුවද, වෙළඳපල සහභාගිකරුවන්ගේ මෙහෙයුම් නිසි පරිදි නිරීක්ෂණය වීමක් හෝ නියාමනයක් සිදු නොවේ. ඉහත කරුණ සැලකිල්ලට ගනිමින්, කොමිෂන් සභාවේ විෂය පථය යටතේ නව නියාමන රාමුව ස්ථාපනය කළයුතු වේ. මෙම අරමුණින්, ඛනිජතෙල් සම්පත් සංවර්ධන අමාත්‍යාංශය විසින් 2002 අංක 33 දරන ඛනිජතෙල් නිෂ්පාදන (විශේෂ විධිවිධාන) පනතට සංශෝධන සකස් කොට ඇත.</w:t>
      </w:r>
    </w:p>
    <w:p w:rsidR="0094406E" w:rsidRPr="008522E2" w:rsidRDefault="0094406E" w:rsidP="00C11428">
      <w:pPr>
        <w:widowControl w:val="0"/>
        <w:autoSpaceDE w:val="0"/>
        <w:autoSpaceDN w:val="0"/>
        <w:adjustRightInd w:val="0"/>
        <w:spacing w:after="0" w:line="240" w:lineRule="auto"/>
        <w:jc w:val="both"/>
        <w:rPr>
          <w:rFonts w:ascii="Iskoola Pota" w:hAnsi="Iskoola Pota" w:cs="Iskoola Pota"/>
          <w:sz w:val="24"/>
          <w:szCs w:val="24"/>
        </w:rPr>
      </w:pPr>
      <w:bookmarkStart w:id="0" w:name="_GoBack"/>
      <w:bookmarkEnd w:id="0"/>
    </w:p>
    <w:p w:rsidR="00E2721B" w:rsidRPr="008522E2" w:rsidRDefault="00F45375" w:rsidP="00C11428">
      <w:pPr>
        <w:widowControl w:val="0"/>
        <w:autoSpaceDE w:val="0"/>
        <w:autoSpaceDN w:val="0"/>
        <w:adjustRightInd w:val="0"/>
        <w:spacing w:after="0" w:line="240" w:lineRule="auto"/>
        <w:jc w:val="both"/>
        <w:rPr>
          <w:rFonts w:ascii="Iskoola Pota" w:hAnsi="Iskoola Pota" w:cs="Iskoola Pota"/>
          <w:b/>
          <w:sz w:val="24"/>
          <w:szCs w:val="24"/>
          <w:lang w:bidi="si-LK"/>
        </w:rPr>
      </w:pPr>
      <w:r w:rsidRPr="008522E2">
        <w:rPr>
          <w:rFonts w:ascii="Iskoola Pota" w:hAnsi="Iskoola Pota" w:cs="Iskoola Pota"/>
          <w:b/>
          <w:sz w:val="24"/>
          <w:szCs w:val="24"/>
          <w:cs/>
          <w:lang w:bidi="si-LK"/>
        </w:rPr>
        <w:t>ගැටළු</w:t>
      </w:r>
    </w:p>
    <w:p w:rsidR="00E2721B" w:rsidRPr="008522E2" w:rsidRDefault="00E2721B" w:rsidP="00C11428">
      <w:pPr>
        <w:widowControl w:val="0"/>
        <w:autoSpaceDE w:val="0"/>
        <w:autoSpaceDN w:val="0"/>
        <w:adjustRightInd w:val="0"/>
        <w:spacing w:after="0" w:line="240" w:lineRule="auto"/>
        <w:jc w:val="both"/>
        <w:rPr>
          <w:rFonts w:ascii="Iskoola Pota" w:hAnsi="Iskoola Pota" w:cs="Iskoola Pota"/>
          <w:sz w:val="24"/>
          <w:szCs w:val="24"/>
        </w:rPr>
      </w:pPr>
    </w:p>
    <w:p w:rsidR="0041141A" w:rsidRPr="008522E2" w:rsidRDefault="00F45375" w:rsidP="00C11428">
      <w:pPr>
        <w:pStyle w:val="ListParagraph"/>
        <w:widowControl w:val="0"/>
        <w:numPr>
          <w:ilvl w:val="0"/>
          <w:numId w:val="13"/>
        </w:numPr>
        <w:autoSpaceDE w:val="0"/>
        <w:autoSpaceDN w:val="0"/>
        <w:adjustRightInd w:val="0"/>
        <w:spacing w:after="0" w:line="240" w:lineRule="auto"/>
        <w:jc w:val="both"/>
        <w:rPr>
          <w:rFonts w:ascii="Iskoola Pota" w:hAnsi="Iskoola Pota" w:cs="Iskoola Pota"/>
          <w:bCs/>
          <w:sz w:val="24"/>
          <w:szCs w:val="24"/>
          <w:u w:val="single"/>
        </w:rPr>
      </w:pPr>
      <w:r w:rsidRPr="008522E2">
        <w:rPr>
          <w:rFonts w:ascii="Iskoola Pota" w:hAnsi="Iskoola Pota" w:cs="Iskoola Pota"/>
          <w:bCs/>
          <w:sz w:val="24"/>
          <w:szCs w:val="24"/>
          <w:u w:val="single"/>
          <w:cs/>
          <w:lang w:bidi="si-LK"/>
        </w:rPr>
        <w:t>ගුණාත්මකභාවය</w:t>
      </w:r>
    </w:p>
    <w:p w:rsidR="00F45375" w:rsidRPr="008522E2" w:rsidRDefault="00F45375" w:rsidP="00587CA5">
      <w:pPr>
        <w:pStyle w:val="ListParagraph"/>
        <w:widowControl w:val="0"/>
        <w:autoSpaceDE w:val="0"/>
        <w:autoSpaceDN w:val="0"/>
        <w:adjustRightInd w:val="0"/>
        <w:spacing w:after="0" w:line="240" w:lineRule="auto"/>
        <w:ind w:hanging="360"/>
        <w:jc w:val="both"/>
        <w:rPr>
          <w:rFonts w:ascii="Iskoola Pota" w:hAnsi="Iskoola Pota" w:cs="Iskoola Pota"/>
          <w:b/>
          <w:lang w:bidi="si-LK"/>
        </w:rPr>
      </w:pPr>
      <w:r w:rsidRPr="008522E2">
        <w:rPr>
          <w:rFonts w:ascii="Iskoola Pota" w:hAnsi="Iskoola Pota" w:cs="Iskoola Pota"/>
          <w:b/>
          <w:cs/>
          <w:lang w:bidi="si-LK"/>
        </w:rPr>
        <w:t>අ.</w:t>
      </w:r>
      <w:r w:rsidRPr="008522E2">
        <w:rPr>
          <w:rFonts w:ascii="Iskoola Pota" w:hAnsi="Iskoola Pota" w:cs="Iskoola Pota"/>
          <w:b/>
          <w:cs/>
          <w:lang w:bidi="si-LK"/>
        </w:rPr>
        <w:tab/>
        <w:t xml:space="preserve">රථවාහනවලට හානි සිදුකරමින් </w:t>
      </w:r>
      <w:r w:rsidR="00587CA5" w:rsidRPr="008522E2">
        <w:rPr>
          <w:rFonts w:ascii="Iskoola Pota" w:hAnsi="Iskoola Pota" w:cs="Iskoola Pota"/>
          <w:b/>
          <w:cs/>
          <w:lang w:bidi="si-LK"/>
        </w:rPr>
        <w:t xml:space="preserve">අව-ප්‍රමිතිගත ඛනිජතෙල් ඉන්ධන </w:t>
      </w:r>
      <w:r w:rsidRPr="008522E2">
        <w:rPr>
          <w:rFonts w:ascii="Iskoola Pota" w:hAnsi="Iskoola Pota" w:cs="Iskoola Pota"/>
          <w:b/>
          <w:cs/>
          <w:lang w:bidi="si-LK"/>
        </w:rPr>
        <w:t>අලෙවි කරනු ලබන</w:t>
      </w:r>
      <w:r w:rsidR="00587CA5" w:rsidRPr="008522E2">
        <w:rPr>
          <w:rFonts w:ascii="Iskoola Pota" w:hAnsi="Iskoola Pota" w:cs="Iskoola Pota"/>
          <w:b/>
          <w:cs/>
          <w:lang w:bidi="si-LK"/>
        </w:rPr>
        <w:t xml:space="preserve"> අවස්ථාවන් හා ස්වාධීන සත්‍යාපනයනගෙන් හා නිශ්චයන්ගෙන් තොරව උසස් පිරිවිතරයන් සපුරාලන්නේයැයි ප්‍රකාශ කරමින් පොදු වර්ග නාම නොවන නම්වලින් අලෙවි කරනු ලබන ඛනිජ තෙල් ඉන්ධන සඳහා වඩා ඉහළ මිල ගණන් අය කිරීම් පිළිබඳ ප්‍රශ්න ඉස්මතු කරන ලද අවස්ථා සම්බන්ධ වාර්තා ඇත. ඛනිජතෙල් ඉන්ධන ආශ්‍රිත ගුණාත්මකභාවය හා සම්බන්ධ ගැටළු නිරාකරණය පිණිස</w:t>
      </w:r>
      <w:r w:rsidRPr="008522E2">
        <w:rPr>
          <w:rFonts w:ascii="Iskoola Pota" w:hAnsi="Iskoola Pota" w:cs="Iskoola Pota"/>
          <w:b/>
          <w:cs/>
          <w:lang w:bidi="si-LK"/>
        </w:rPr>
        <w:t xml:space="preserve"> </w:t>
      </w:r>
      <w:r w:rsidR="00587CA5" w:rsidRPr="008522E2">
        <w:rPr>
          <w:rFonts w:ascii="Iskoola Pota" w:hAnsi="Iskoola Pota" w:cs="Iskoola Pota"/>
          <w:b/>
          <w:cs/>
          <w:lang w:bidi="si-LK"/>
        </w:rPr>
        <w:t>සියල්ලට ප්‍රථමයෙන් ඛනිජතෙල් ඉන්ධන සඳහා ජාතික ප්‍රමිතීන් පැනවිය යුතුවේ.</w:t>
      </w:r>
    </w:p>
    <w:p w:rsidR="00587CA5" w:rsidRPr="008522E2" w:rsidRDefault="00587CA5" w:rsidP="00587CA5">
      <w:pPr>
        <w:pStyle w:val="ListParagraph"/>
        <w:widowControl w:val="0"/>
        <w:autoSpaceDE w:val="0"/>
        <w:autoSpaceDN w:val="0"/>
        <w:adjustRightInd w:val="0"/>
        <w:spacing w:after="0" w:line="240" w:lineRule="auto"/>
        <w:ind w:hanging="360"/>
        <w:jc w:val="both"/>
        <w:rPr>
          <w:rFonts w:ascii="Iskoola Pota" w:hAnsi="Iskoola Pota" w:cs="Iskoola Pota"/>
          <w:b/>
          <w:lang w:bidi="si-LK"/>
        </w:rPr>
      </w:pPr>
    </w:p>
    <w:p w:rsidR="00587CA5" w:rsidRPr="008522E2" w:rsidRDefault="00587CA5" w:rsidP="00587CA5">
      <w:pPr>
        <w:pStyle w:val="ListParagraph"/>
        <w:widowControl w:val="0"/>
        <w:autoSpaceDE w:val="0"/>
        <w:autoSpaceDN w:val="0"/>
        <w:adjustRightInd w:val="0"/>
        <w:spacing w:after="0" w:line="240" w:lineRule="auto"/>
        <w:ind w:hanging="360"/>
        <w:jc w:val="both"/>
        <w:rPr>
          <w:rFonts w:ascii="Iskoola Pota" w:hAnsi="Iskoola Pota" w:cs="Iskoola Pota"/>
          <w:b/>
          <w:lang w:bidi="si-LK"/>
        </w:rPr>
      </w:pPr>
      <w:r w:rsidRPr="008522E2">
        <w:rPr>
          <w:rFonts w:ascii="Iskoola Pota" w:hAnsi="Iskoola Pota" w:cs="Iskoola Pota"/>
          <w:b/>
          <w:cs/>
          <w:lang w:bidi="si-LK"/>
        </w:rPr>
        <w:t>ආ.</w:t>
      </w:r>
      <w:r w:rsidRPr="008522E2">
        <w:rPr>
          <w:rFonts w:ascii="Iskoola Pota" w:hAnsi="Iskoola Pota" w:cs="Iskoola Pota"/>
          <w:b/>
          <w:cs/>
          <w:lang w:bidi="si-LK"/>
        </w:rPr>
        <w:tab/>
        <w:t>ඉහළ සහන මිලක් යටතේ අලෙවිවන භූමිතෙල් හා සාපේක්ෂව පෙට්‍රල් හා ඩීසල් මිලෙහි පවත්නා ඉහළ මිල වෙනස හේතුකොටගෙන පෙට්‍රල් හා ඩීසල්වලට භූමිතෙල් කළවම් කරමින් ඛනිජතෙල් ඉන්ධන බාලකරනු ලබන අවස්ථාවන් පිළිබඳවද වාර්තා ඇත. මෙම ගැටළු නිරාකරණය කරනු පිණිස</w:t>
      </w:r>
      <w:r w:rsidR="0060130C" w:rsidRPr="008522E2">
        <w:rPr>
          <w:rFonts w:ascii="Iskoola Pota" w:hAnsi="Iskoola Pota" w:cs="Iskoola Pota"/>
          <w:b/>
          <w:cs/>
          <w:lang w:bidi="si-LK"/>
        </w:rPr>
        <w:t xml:space="preserve"> පහත කරුණු වෙනුවෙන් වු ප්‍රතිපත්තිමය නිර්දේශ රජය වෙත ඉදිරිපත් කළ හැක:</w:t>
      </w:r>
    </w:p>
    <w:p w:rsidR="00587CA5" w:rsidRPr="008522E2" w:rsidRDefault="00587CA5" w:rsidP="00587CA5">
      <w:pPr>
        <w:pStyle w:val="ListParagraph"/>
        <w:widowControl w:val="0"/>
        <w:autoSpaceDE w:val="0"/>
        <w:autoSpaceDN w:val="0"/>
        <w:adjustRightInd w:val="0"/>
        <w:spacing w:after="0" w:line="240" w:lineRule="auto"/>
        <w:ind w:hanging="360"/>
        <w:jc w:val="both"/>
        <w:rPr>
          <w:rFonts w:ascii="Iskoola Pota" w:hAnsi="Iskoola Pota" w:cs="Iskoola Pota"/>
          <w:b/>
          <w:lang w:bidi="si-LK"/>
        </w:rPr>
      </w:pPr>
    </w:p>
    <w:p w:rsidR="00587CA5" w:rsidRPr="008522E2" w:rsidRDefault="00C05C07" w:rsidP="00587CA5">
      <w:pPr>
        <w:pStyle w:val="ListParagraph"/>
        <w:widowControl w:val="0"/>
        <w:numPr>
          <w:ilvl w:val="0"/>
          <w:numId w:val="18"/>
        </w:numPr>
        <w:autoSpaceDE w:val="0"/>
        <w:autoSpaceDN w:val="0"/>
        <w:adjustRightInd w:val="0"/>
        <w:spacing w:after="0" w:line="240" w:lineRule="auto"/>
        <w:jc w:val="both"/>
        <w:rPr>
          <w:rFonts w:ascii="Iskoola Pota" w:hAnsi="Iskoola Pota" w:cs="Iskoola Pota"/>
          <w:b/>
        </w:rPr>
      </w:pPr>
      <w:r w:rsidRPr="008522E2">
        <w:rPr>
          <w:rFonts w:ascii="Iskoola Pota" w:hAnsi="Iskoola Pota" w:cs="Iskoola Pota"/>
          <w:b/>
          <w:cs/>
          <w:lang w:bidi="si-LK"/>
        </w:rPr>
        <w:t>අතේ ගෙනයා හැකි හා රඳවාගත හැකි ක්ෂේත්‍ර උපකරණයක් මගින් අදාළ සළකුණු කිරීමේ ද්‍රව්‍යය පව</w:t>
      </w:r>
      <w:r w:rsidR="008522E2">
        <w:rPr>
          <w:rFonts w:ascii="Iskoola Pota" w:hAnsi="Iskoola Pota" w:cs="Iskoola Pota"/>
          <w:b/>
          <w:cs/>
          <w:lang w:bidi="si-LK"/>
        </w:rPr>
        <w:t>ත්නේද යන්න පරීක්ෂා කර බැලිය හැක</w:t>
      </w:r>
      <w:r w:rsidR="008522E2">
        <w:rPr>
          <w:rFonts w:ascii="Iskoola Pota" w:hAnsi="Iskoola Pota" w:cs="Iskoola Pota" w:hint="cs"/>
          <w:b/>
          <w:cs/>
          <w:lang w:bidi="si-LK"/>
        </w:rPr>
        <w:t>ි</w:t>
      </w:r>
      <w:r w:rsidRPr="008522E2">
        <w:rPr>
          <w:rFonts w:ascii="Iskoola Pota" w:hAnsi="Iskoola Pota" w:cs="Iskoola Pota"/>
          <w:b/>
          <w:cs/>
          <w:lang w:bidi="si-LK"/>
        </w:rPr>
        <w:t>වන පරිදි භූමිතෙල්වලට එවන් සළකුණු කිරීමේ ද්‍රවය්‍යක් එක් කිරීමේ විධිනියෝගයක් නිකුත් කිරීම</w:t>
      </w:r>
      <w:r w:rsidR="003E6568" w:rsidRPr="008522E2">
        <w:rPr>
          <w:rFonts w:ascii="Iskoola Pota" w:hAnsi="Iskoola Pota" w:cs="Iskoola Pota"/>
          <w:b/>
          <w:cs/>
          <w:lang w:bidi="si-LK"/>
        </w:rPr>
        <w:t>ට</w:t>
      </w:r>
      <w:r w:rsidRPr="008522E2">
        <w:rPr>
          <w:rFonts w:ascii="Iskoola Pota" w:hAnsi="Iskoola Pota" w:cs="Iskoola Pota"/>
          <w:b/>
          <w:cs/>
          <w:lang w:bidi="si-LK"/>
        </w:rPr>
        <w:t>. පරීක්ෂාකර බලන අවස්ථාවේදී පෙට්‍රල් හෝ ඩීසල්වල එම සළකුණු කිරීමේ ද්‍රව්‍යය පවතින බව පෙනී ගියහොත්, එය එම නිෂ්පාදිතයන්  භූමිතෙල් කළවම් කොට බාලකර ඇත්තේය යන්න නිගමනය කිරීමේ නියත සාක්ෂියක් </w:t>
      </w:r>
      <w:r w:rsidR="003E6568" w:rsidRPr="008522E2">
        <w:rPr>
          <w:rFonts w:ascii="Iskoola Pota" w:hAnsi="Iskoola Pota" w:cs="Iskoola Pota"/>
          <w:b/>
          <w:cs/>
          <w:lang w:bidi="si-LK"/>
        </w:rPr>
        <w:t>වේ</w:t>
      </w:r>
      <w:r w:rsidRPr="008522E2">
        <w:rPr>
          <w:rFonts w:ascii="Iskoola Pota" w:hAnsi="Iskoola Pota" w:cs="Iskoola Pota"/>
          <w:b/>
          <w:cs/>
          <w:lang w:bidi="si-LK"/>
        </w:rPr>
        <w:t>.</w:t>
      </w:r>
    </w:p>
    <w:p w:rsidR="003E6568" w:rsidRPr="008522E2" w:rsidRDefault="003E6568" w:rsidP="00587CA5">
      <w:pPr>
        <w:pStyle w:val="ListParagraph"/>
        <w:widowControl w:val="0"/>
        <w:numPr>
          <w:ilvl w:val="0"/>
          <w:numId w:val="18"/>
        </w:numPr>
        <w:autoSpaceDE w:val="0"/>
        <w:autoSpaceDN w:val="0"/>
        <w:adjustRightInd w:val="0"/>
        <w:spacing w:after="0" w:line="240" w:lineRule="auto"/>
        <w:jc w:val="both"/>
        <w:rPr>
          <w:rFonts w:ascii="Iskoola Pota" w:hAnsi="Iskoola Pota" w:cs="Iskoola Pota"/>
          <w:b/>
        </w:rPr>
      </w:pPr>
      <w:r w:rsidRPr="008522E2">
        <w:rPr>
          <w:rFonts w:ascii="Iskoola Pota" w:hAnsi="Iskoola Pota" w:cs="Iskoola Pota"/>
          <w:b/>
          <w:cs/>
          <w:lang w:bidi="si-LK"/>
        </w:rPr>
        <w:t>භූමිතෙල් එහි නිවැරදි වෙළඳපල වටිනාකමට මිල කරමින්, සමෘද්ධිලාභීන් බඳු ප්‍රතිලාභ ලැබිය යුතු ගණයේ ජනතාව හෝ ධීවර බෝට්ටු මෙහෙයුම්කරුවන් බඳු යම් නිශ්චිත පරිහරණය කරන්නන්ගේ කණ්ඩායමක් වෙත එසේ ඉලක්කගත සහනය ලබාදීමට. ආහාර පිසීම හා නිවෙස්</w:t>
      </w:r>
      <w:r w:rsidR="0060130C" w:rsidRPr="008522E2">
        <w:rPr>
          <w:rFonts w:ascii="Iskoola Pota" w:hAnsi="Iskoola Pota" w:cs="Iskoola Pota"/>
          <w:b/>
          <w:cs/>
          <w:lang w:bidi="si-LK"/>
        </w:rPr>
        <w:t xml:space="preserve"> ආලෝකකරණය හැර වෙනත් අවශ්‍යතා සදහා සහන මිල භූමිතෙල් භාවිතයද මෙමගින් නවතාලනු ඇත.</w:t>
      </w:r>
    </w:p>
    <w:p w:rsidR="00C04AD7" w:rsidRPr="008522E2" w:rsidRDefault="00C04AD7" w:rsidP="00C11428">
      <w:pPr>
        <w:pStyle w:val="ListParagraph"/>
        <w:spacing w:after="0" w:line="240" w:lineRule="auto"/>
        <w:ind w:left="360"/>
        <w:jc w:val="both"/>
        <w:rPr>
          <w:rFonts w:ascii="Iskoola Pota" w:hAnsi="Iskoola Pota" w:cs="Iskoola Pota"/>
          <w:sz w:val="24"/>
          <w:szCs w:val="24"/>
        </w:rPr>
      </w:pPr>
    </w:p>
    <w:p w:rsidR="00C04AD7" w:rsidRPr="008522E2" w:rsidRDefault="0060130C" w:rsidP="00C11428">
      <w:pPr>
        <w:pStyle w:val="ListParagraph"/>
        <w:numPr>
          <w:ilvl w:val="0"/>
          <w:numId w:val="13"/>
        </w:numPr>
        <w:spacing w:after="0" w:line="240" w:lineRule="auto"/>
        <w:jc w:val="both"/>
        <w:rPr>
          <w:rFonts w:ascii="Iskoola Pota" w:hAnsi="Iskoola Pota" w:cs="Iskoola Pota"/>
          <w:sz w:val="24"/>
          <w:szCs w:val="24"/>
          <w:u w:val="single"/>
        </w:rPr>
      </w:pPr>
      <w:r w:rsidRPr="008522E2">
        <w:rPr>
          <w:rFonts w:ascii="Iskoola Pota" w:hAnsi="Iskoola Pota" w:cs="Iskoola Pota"/>
          <w:sz w:val="24"/>
          <w:szCs w:val="24"/>
          <w:u w:val="single"/>
          <w:cs/>
          <w:lang w:bidi="si-LK"/>
        </w:rPr>
        <w:t>ලබාගැනීම සඳහා පවත්නා බව</w:t>
      </w:r>
    </w:p>
    <w:p w:rsidR="00540160" w:rsidRPr="008522E2" w:rsidRDefault="00540160" w:rsidP="00C11428">
      <w:pPr>
        <w:spacing w:after="0" w:line="240" w:lineRule="auto"/>
        <w:ind w:left="360"/>
        <w:jc w:val="both"/>
        <w:rPr>
          <w:rFonts w:ascii="Iskoola Pota" w:hAnsi="Iskoola Pota" w:cs="Iskoola Pota"/>
          <w:sz w:val="24"/>
          <w:szCs w:val="24"/>
        </w:rPr>
      </w:pPr>
    </w:p>
    <w:p w:rsidR="0060130C" w:rsidRPr="008522E2" w:rsidRDefault="0060130C" w:rsidP="0060130C">
      <w:pPr>
        <w:spacing w:after="0" w:line="240" w:lineRule="auto"/>
        <w:ind w:left="720" w:hanging="360"/>
        <w:jc w:val="both"/>
        <w:rPr>
          <w:rFonts w:ascii="Iskoola Pota" w:hAnsi="Iskoola Pota" w:cs="Iskoola Pota"/>
          <w:lang w:bidi="si-LK"/>
        </w:rPr>
      </w:pPr>
      <w:r w:rsidRPr="008522E2">
        <w:rPr>
          <w:rFonts w:ascii="Iskoola Pota" w:hAnsi="Iskoola Pota" w:cs="Iskoola Pota"/>
          <w:cs/>
          <w:lang w:bidi="si-LK"/>
        </w:rPr>
        <w:t>අ.</w:t>
      </w:r>
      <w:r w:rsidRPr="008522E2">
        <w:rPr>
          <w:rFonts w:ascii="Iskoola Pota" w:hAnsi="Iskoola Pota" w:cs="Iskoola Pota"/>
          <w:cs/>
          <w:lang w:bidi="si-LK"/>
        </w:rPr>
        <w:tab/>
      </w:r>
      <w:r w:rsidR="007A4EC5" w:rsidRPr="008522E2">
        <w:rPr>
          <w:rFonts w:ascii="Iskoola Pota" w:hAnsi="Iskoola Pota" w:cs="Iskoola Pota"/>
          <w:cs/>
          <w:lang w:bidi="si-LK"/>
        </w:rPr>
        <w:t>සැලකිය යුතු දුරක් ඇතුළත සිල්ලර වෙළඳසැලක් නොමැතිවීම හේතුවෙන් ඇතැම් ප්‍රදේශයන්හි පාරිභෝගිකයන් හට දුර මග ගෙවා ඒ සඳහා පැමිණීමට සිදුවේ. තවද, බොහෝ අලෙවිසල් වෙත මූලික පහසුකම් නොමැතිවීම හේතුකොට සිල්ලර අලෙවිසැල් මගින් ලබාදෙනු ලබන සේවාවන්හි මට්ටමද සමාන නොවේ.</w:t>
      </w:r>
      <w:r w:rsidR="00F053EA" w:rsidRPr="008522E2">
        <w:rPr>
          <w:rFonts w:ascii="Iskoola Pota" w:hAnsi="Iskoola Pota" w:cs="Iskoola Pota"/>
          <w:cs/>
          <w:lang w:bidi="si-LK"/>
        </w:rPr>
        <w:t xml:space="preserve"> පවත්නා මෙන්ම නව සිල්ලර වෙළඳසැල්ද ක්‍රියාත්මක කළහැකි බව, ඛනිජතෙල් ඉන්ධන හා උසස් මට්ටමේ පාරිභෝගික සේවා ලබාගත හැකි බව යන කරුණු සැලකිල්ලට ගනිමින් සිල්ලර ඉන්ධන අලෙවිසැල් ස්ථානගත කිරීම මෙන්ම සම්පාදනය කළයුතු සේවාවන් පිළිබඳවද මාර්ගෝපදේශ ප්‍රසිද්ධ කිරීම මගින් මේවා නිරාකරණය කළ හැක - යෝජිත මාර්ගෝපදේශ යාකොට ඇත.</w:t>
      </w:r>
    </w:p>
    <w:p w:rsidR="00F053EA" w:rsidRPr="008522E2" w:rsidRDefault="00F053EA" w:rsidP="0060130C">
      <w:pPr>
        <w:spacing w:after="0" w:line="240" w:lineRule="auto"/>
        <w:ind w:left="720" w:hanging="360"/>
        <w:jc w:val="both"/>
        <w:rPr>
          <w:rFonts w:ascii="Iskoola Pota" w:hAnsi="Iskoola Pota" w:cs="Iskoola Pota"/>
          <w:lang w:bidi="si-LK"/>
        </w:rPr>
      </w:pPr>
    </w:p>
    <w:p w:rsidR="00F053EA" w:rsidRPr="008522E2" w:rsidRDefault="00F053EA" w:rsidP="0060130C">
      <w:pPr>
        <w:spacing w:after="0" w:line="240" w:lineRule="auto"/>
        <w:ind w:left="720" w:hanging="360"/>
        <w:jc w:val="both"/>
        <w:rPr>
          <w:rFonts w:ascii="Iskoola Pota" w:hAnsi="Iskoola Pota" w:cs="Iskoola Pota"/>
          <w:lang w:bidi="si-LK"/>
        </w:rPr>
      </w:pPr>
      <w:r w:rsidRPr="008522E2">
        <w:rPr>
          <w:rFonts w:ascii="Iskoola Pota" w:hAnsi="Iskoola Pota" w:cs="Iskoola Pota"/>
          <w:cs/>
          <w:lang w:bidi="si-LK"/>
        </w:rPr>
        <w:t>ආ.</w:t>
      </w:r>
      <w:r w:rsidRPr="008522E2">
        <w:rPr>
          <w:rFonts w:ascii="Iskoola Pota" w:hAnsi="Iskoola Pota" w:cs="Iskoola Pota"/>
          <w:cs/>
          <w:lang w:bidi="si-LK"/>
        </w:rPr>
        <w:tab/>
        <w:t>මෙයට අමතරව, දැනට පවත්නා සිල්ලර ඉන්ධන අලෙවිසැල් බොහෝ සංඛ්‍යාවක් විසින් භූමිතෙල් අලෙවි නොකරන තත්ත්වයක භූමිතෙල් ලබාගැනීම පිණිස බොහෝ දුරමග ගෙවා යාමට සිදුවීම හේතුවෙන් ඇතැම් ප්‍රදේශයන්හි පාරිභෝගිකයෝ අපහසුතාවයට පත්වෙති. වෙළඳපල මිලට වඩා අඩු මිලට භූමිතෙල් අලෙවි කළ යුතුනම් බලපත්ලාභීන්</w:t>
      </w:r>
      <w:r w:rsidR="00535119" w:rsidRPr="008522E2">
        <w:rPr>
          <w:rFonts w:ascii="Iskoola Pota" w:hAnsi="Iskoola Pota" w:cs="Iskoola Pota"/>
          <w:cs/>
          <w:lang w:bidi="si-LK"/>
        </w:rPr>
        <w:t xml:space="preserve"> වෙත සහන මිලක් ලබාදෙමින්, සියළු ඉන්ධන සිල්ලර අලෙවි ස්ථාන භූමිතෙල් අලෙවි කළ යුතු බවට හෝ, විකල්ප වශයෙන්, භූමිතෙල් භූමිතෙල් පමණක් අලෙවි කරන ස්ථාන මගින් අලෙවි කළයුතු බවට පනවන මාර්ගෝපදේශ ප්‍රසිද්ධ කිරීම මගින් මෙම තත්ත්වය නිරාකරණය කළ හැක.</w:t>
      </w:r>
    </w:p>
    <w:p w:rsidR="00540160" w:rsidRPr="008522E2" w:rsidRDefault="00540160" w:rsidP="00C11428">
      <w:pPr>
        <w:spacing w:after="0" w:line="240" w:lineRule="auto"/>
        <w:ind w:left="360"/>
        <w:jc w:val="both"/>
        <w:rPr>
          <w:rFonts w:ascii="Iskoola Pota" w:hAnsi="Iskoola Pota" w:cs="Iskoola Pota"/>
          <w:sz w:val="24"/>
          <w:szCs w:val="24"/>
        </w:rPr>
      </w:pPr>
    </w:p>
    <w:p w:rsidR="007B6E0B" w:rsidRPr="008522E2" w:rsidRDefault="00535119" w:rsidP="00C11428">
      <w:pPr>
        <w:pStyle w:val="ListParagraph"/>
        <w:numPr>
          <w:ilvl w:val="0"/>
          <w:numId w:val="13"/>
        </w:numPr>
        <w:spacing w:after="0" w:line="240" w:lineRule="auto"/>
        <w:jc w:val="both"/>
        <w:rPr>
          <w:rFonts w:ascii="Iskoola Pota" w:hAnsi="Iskoola Pota" w:cs="Iskoola Pota"/>
          <w:sz w:val="24"/>
          <w:szCs w:val="24"/>
          <w:u w:val="single"/>
        </w:rPr>
      </w:pPr>
      <w:r w:rsidRPr="008522E2">
        <w:rPr>
          <w:rFonts w:ascii="Iskoola Pota" w:hAnsi="Iskoola Pota" w:cs="Iskoola Pota"/>
          <w:sz w:val="24"/>
          <w:szCs w:val="24"/>
          <w:u w:val="single"/>
          <w:cs/>
          <w:lang w:bidi="si-LK"/>
        </w:rPr>
        <w:t>ප්‍රමාණය</w:t>
      </w:r>
    </w:p>
    <w:p w:rsidR="004543F2" w:rsidRPr="008522E2" w:rsidRDefault="00535119" w:rsidP="00C11428">
      <w:pPr>
        <w:spacing w:after="0" w:line="240" w:lineRule="auto"/>
        <w:ind w:left="360"/>
        <w:jc w:val="both"/>
        <w:rPr>
          <w:rFonts w:ascii="Iskoola Pota" w:hAnsi="Iskoola Pota" w:cs="Iskoola Pota"/>
          <w:lang w:bidi="si-LK"/>
        </w:rPr>
      </w:pPr>
      <w:r w:rsidRPr="008522E2">
        <w:rPr>
          <w:rFonts w:ascii="Iskoola Pota" w:hAnsi="Iskoola Pota" w:cs="Iskoola Pota"/>
          <w:cs/>
          <w:lang w:bidi="si-LK"/>
        </w:rPr>
        <w:t>සිල්ලර අලෙවිසැල්හි මනුගත පොම්ප සිතාමතා සාවද්‍ය ගැළපු</w:t>
      </w:r>
      <w:r w:rsidR="008522E2">
        <w:rPr>
          <w:rFonts w:ascii="Iskoola Pota" w:hAnsi="Iskoola Pota" w:cs="Iskoola Pota" w:hint="cs"/>
          <w:cs/>
          <w:lang w:bidi="si-LK"/>
        </w:rPr>
        <w:t>ම්</w:t>
      </w:r>
      <w:r w:rsidRPr="008522E2">
        <w:rPr>
          <w:rFonts w:ascii="Iskoola Pota" w:hAnsi="Iskoola Pota" w:cs="Iskoola Pota"/>
          <w:cs/>
          <w:lang w:bidi="si-LK"/>
        </w:rPr>
        <w:t>කරණය හෝ ඒවාහි අවක්‍රියාකාරිත්වය  හේතුකොට ඛනිජ තෙල් ඉන්ධන වැරදි ප්‍රමාණයන්ගෙන් පාරිභෝගිකයන් වෙත අලෙවි කරනු ලබන බවටද වාර්තා පවතී. අදාළ නියාමන නියෝජිතායතනය හෝ නියෝජිතායතන වෙතින් පැමිණෙන ස්වාධීන පරීක්ෂකයෙකු ඉදිරිපිට කිරුම් හා මිනුම් දෙපාර්තමේන්තුව විසින් නිතිපතා වරින් වර සිල්ලර අලෙවිසැල්හි පවත්නා මනුගත පොම්ප පරීක්ෂා කොට අංකනය කළ යුතු බවට පැනවීම මගින් මෙය නිරාකරණය කළ හැක.</w:t>
      </w:r>
    </w:p>
    <w:p w:rsidR="00535119" w:rsidRPr="008522E2" w:rsidRDefault="00535119" w:rsidP="00C11428">
      <w:pPr>
        <w:spacing w:after="0" w:line="240" w:lineRule="auto"/>
        <w:ind w:left="360"/>
        <w:jc w:val="both"/>
        <w:rPr>
          <w:rFonts w:ascii="Iskoola Pota" w:hAnsi="Iskoola Pota" w:cs="Iskoola Pota"/>
          <w:lang w:bidi="si-LK"/>
        </w:rPr>
      </w:pPr>
    </w:p>
    <w:p w:rsidR="00B47682" w:rsidRPr="008522E2" w:rsidRDefault="00535119" w:rsidP="00C11428">
      <w:pPr>
        <w:spacing w:after="0" w:line="240" w:lineRule="auto"/>
        <w:jc w:val="both"/>
        <w:rPr>
          <w:rFonts w:ascii="Iskoola Pota" w:hAnsi="Iskoola Pota" w:cs="Iskoola Pota"/>
          <w:b/>
          <w:bCs/>
          <w:sz w:val="24"/>
          <w:szCs w:val="24"/>
          <w:lang w:bidi="si-LK"/>
        </w:rPr>
      </w:pPr>
      <w:r w:rsidRPr="008522E2">
        <w:rPr>
          <w:rFonts w:ascii="Iskoola Pota" w:hAnsi="Iskoola Pota" w:cs="Iskoola Pota"/>
          <w:b/>
          <w:bCs/>
          <w:sz w:val="24"/>
          <w:szCs w:val="24"/>
          <w:cs/>
          <w:lang w:bidi="si-LK"/>
        </w:rPr>
        <w:t>අදහස් විමසීම</w:t>
      </w:r>
    </w:p>
    <w:p w:rsidR="00B47682" w:rsidRPr="008522E2" w:rsidRDefault="00B47682" w:rsidP="00C11428">
      <w:pPr>
        <w:spacing w:after="0" w:line="240" w:lineRule="auto"/>
        <w:jc w:val="both"/>
        <w:rPr>
          <w:rFonts w:ascii="Iskoola Pota" w:hAnsi="Iskoola Pota" w:cs="Iskoola Pota"/>
          <w:bCs/>
          <w:sz w:val="24"/>
          <w:szCs w:val="24"/>
        </w:rPr>
      </w:pPr>
    </w:p>
    <w:p w:rsidR="00535119" w:rsidRPr="008522E2" w:rsidRDefault="00822A06" w:rsidP="00C11428">
      <w:pPr>
        <w:spacing w:after="0" w:line="240" w:lineRule="auto"/>
        <w:jc w:val="both"/>
        <w:rPr>
          <w:rFonts w:ascii="Iskoola Pota" w:hAnsi="Iskoola Pota" w:cs="Iskoola Pota"/>
          <w:bCs/>
          <w:lang w:bidi="si-LK"/>
        </w:rPr>
      </w:pPr>
      <w:r w:rsidRPr="008522E2">
        <w:rPr>
          <w:rFonts w:ascii="Iskoola Pota" w:hAnsi="Iskoola Pota" w:cs="Iskoola Pota"/>
          <w:bCs/>
          <w:cs/>
          <w:lang w:bidi="si-LK"/>
        </w:rPr>
        <w:t>උක්ත කරුණු අනුව, මහජන උපයෝගිතා කොමිෂන් සභාව විසින් රජයට නිර්දේශ කිරීමට අපේක්ෂා කරන යෝජිත ප‍්‍රතිකර්ම මගින් බලපෑමට ලක්විය හැකි හෝ බලපෑමට ලක්වූ යම් පුද්ගලයෙකු හෝ පුද්ගල කණ්ඩායමක් වේනම් ඔහු/ඔවුන් වෙතින්  අදහස් ලබාගැනීමට ශ්‍රී ලංකා මහජන උපයෝගිතා කොමිෂන් සභාව අපේක්ෂා කරයි.</w:t>
      </w:r>
    </w:p>
    <w:sectPr w:rsidR="00535119" w:rsidRPr="008522E2" w:rsidSect="00E150F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B06" w:rsidRDefault="008D7B06" w:rsidP="00E9315C">
      <w:pPr>
        <w:spacing w:after="0" w:line="240" w:lineRule="auto"/>
      </w:pPr>
      <w:r>
        <w:separator/>
      </w:r>
    </w:p>
  </w:endnote>
  <w:endnote w:type="continuationSeparator" w:id="0">
    <w:p w:rsidR="008D7B06" w:rsidRDefault="008D7B06" w:rsidP="00E93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752419"/>
      <w:docPartObj>
        <w:docPartGallery w:val="Page Numbers (Bottom of Page)"/>
        <w:docPartUnique/>
      </w:docPartObj>
    </w:sdtPr>
    <w:sdtContent>
      <w:sdt>
        <w:sdtPr>
          <w:id w:val="-1669238322"/>
          <w:docPartObj>
            <w:docPartGallery w:val="Page Numbers (Top of Page)"/>
            <w:docPartUnique/>
          </w:docPartObj>
        </w:sdtPr>
        <w:sdtContent>
          <w:p w:rsidR="00535119" w:rsidRDefault="00535119">
            <w:pPr>
              <w:pStyle w:val="Footer"/>
              <w:jc w:val="center"/>
            </w:pPr>
            <w:r>
              <w:t xml:space="preserve">Page </w:t>
            </w:r>
            <w:r w:rsidR="00405C89">
              <w:rPr>
                <w:b/>
                <w:bCs/>
                <w:sz w:val="24"/>
                <w:szCs w:val="24"/>
              </w:rPr>
              <w:fldChar w:fldCharType="begin"/>
            </w:r>
            <w:r>
              <w:rPr>
                <w:b/>
                <w:bCs/>
              </w:rPr>
              <w:instrText xml:space="preserve"> PAGE </w:instrText>
            </w:r>
            <w:r w:rsidR="00405C89">
              <w:rPr>
                <w:b/>
                <w:bCs/>
                <w:sz w:val="24"/>
                <w:szCs w:val="24"/>
              </w:rPr>
              <w:fldChar w:fldCharType="separate"/>
            </w:r>
            <w:r w:rsidR="008522E2">
              <w:rPr>
                <w:b/>
                <w:bCs/>
                <w:noProof/>
              </w:rPr>
              <w:t>2</w:t>
            </w:r>
            <w:r w:rsidR="00405C89">
              <w:rPr>
                <w:b/>
                <w:bCs/>
                <w:sz w:val="24"/>
                <w:szCs w:val="24"/>
              </w:rPr>
              <w:fldChar w:fldCharType="end"/>
            </w:r>
            <w:r>
              <w:t xml:space="preserve"> of </w:t>
            </w:r>
            <w:r w:rsidR="00405C89">
              <w:rPr>
                <w:b/>
                <w:bCs/>
                <w:sz w:val="24"/>
                <w:szCs w:val="24"/>
              </w:rPr>
              <w:fldChar w:fldCharType="begin"/>
            </w:r>
            <w:r>
              <w:rPr>
                <w:b/>
                <w:bCs/>
              </w:rPr>
              <w:instrText xml:space="preserve"> NUMPAGES  </w:instrText>
            </w:r>
            <w:r w:rsidR="00405C89">
              <w:rPr>
                <w:b/>
                <w:bCs/>
                <w:sz w:val="24"/>
                <w:szCs w:val="24"/>
              </w:rPr>
              <w:fldChar w:fldCharType="separate"/>
            </w:r>
            <w:r w:rsidR="008522E2">
              <w:rPr>
                <w:b/>
                <w:bCs/>
                <w:noProof/>
              </w:rPr>
              <w:t>2</w:t>
            </w:r>
            <w:r w:rsidR="00405C89">
              <w:rPr>
                <w:b/>
                <w:bCs/>
                <w:sz w:val="24"/>
                <w:szCs w:val="24"/>
              </w:rPr>
              <w:fldChar w:fldCharType="end"/>
            </w:r>
          </w:p>
        </w:sdtContent>
      </w:sdt>
    </w:sdtContent>
  </w:sdt>
  <w:p w:rsidR="00535119" w:rsidRDefault="00535119" w:rsidP="00B47682">
    <w:pPr>
      <w:pStyle w:val="Footer"/>
      <w:tabs>
        <w:tab w:val="clear" w:pos="4513"/>
        <w:tab w:val="clear" w:pos="9026"/>
        <w:tab w:val="left" w:pos="528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B06" w:rsidRDefault="008D7B06" w:rsidP="00E9315C">
      <w:pPr>
        <w:spacing w:after="0" w:line="240" w:lineRule="auto"/>
      </w:pPr>
      <w:r>
        <w:separator/>
      </w:r>
    </w:p>
  </w:footnote>
  <w:footnote w:type="continuationSeparator" w:id="0">
    <w:p w:rsidR="008D7B06" w:rsidRDefault="008D7B06" w:rsidP="00E93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9" w:rsidRDefault="00535119">
    <w:pPr>
      <w:pStyle w:val="Header"/>
    </w:pPr>
  </w:p>
  <w:p w:rsidR="00535119" w:rsidRDefault="00535119"/>
  <w:p w:rsidR="00535119" w:rsidRDefault="005351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074C"/>
    <w:multiLevelType w:val="hybridMultilevel"/>
    <w:tmpl w:val="62586206"/>
    <w:lvl w:ilvl="0" w:tplc="7CB6C634">
      <w:start w:val="1"/>
      <w:numFmt w:val="lowerLetter"/>
      <w:lvlText w:val="%1."/>
      <w:lvlJc w:val="left"/>
      <w:pPr>
        <w:ind w:left="720" w:hanging="360"/>
      </w:pPr>
      <w:rPr>
        <w:rFonts w:hint="default"/>
        <w:b w:val="0"/>
        <w:bCs w:val="0"/>
        <w:i w:val="0"/>
        <w:iCs w:val="0"/>
        <w:sz w:val="24"/>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470B68"/>
    <w:multiLevelType w:val="hybridMultilevel"/>
    <w:tmpl w:val="97BEF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E0C5DBC"/>
    <w:multiLevelType w:val="hybridMultilevel"/>
    <w:tmpl w:val="306284FE"/>
    <w:lvl w:ilvl="0" w:tplc="A976B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9729C6"/>
    <w:multiLevelType w:val="hybridMultilevel"/>
    <w:tmpl w:val="4080D188"/>
    <w:lvl w:ilvl="0" w:tplc="7CB6C634">
      <w:start w:val="1"/>
      <w:numFmt w:val="lowerLetter"/>
      <w:lvlText w:val="%1."/>
      <w:lvlJc w:val="left"/>
      <w:pPr>
        <w:ind w:left="1080" w:hanging="360"/>
      </w:pPr>
      <w:rPr>
        <w:rFonts w:hint="default"/>
        <w:b w:val="0"/>
        <w:bCs w:val="0"/>
        <w:i w:val="0"/>
        <w:iCs w:val="0"/>
        <w:sz w:val="24"/>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3F46DE1"/>
    <w:multiLevelType w:val="hybridMultilevel"/>
    <w:tmpl w:val="4AB2E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C630C1F"/>
    <w:multiLevelType w:val="hybridMultilevel"/>
    <w:tmpl w:val="8BE42422"/>
    <w:lvl w:ilvl="0" w:tplc="AA66BBE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D486DCA"/>
    <w:multiLevelType w:val="hybridMultilevel"/>
    <w:tmpl w:val="C1D21AE2"/>
    <w:lvl w:ilvl="0" w:tplc="7CB6C634">
      <w:start w:val="1"/>
      <w:numFmt w:val="lowerLetter"/>
      <w:lvlText w:val="%1."/>
      <w:lvlJc w:val="left"/>
      <w:pPr>
        <w:ind w:left="1080" w:hanging="360"/>
      </w:pPr>
      <w:rPr>
        <w:rFonts w:hint="default"/>
        <w:b w:val="0"/>
        <w:bCs w:val="0"/>
        <w:i w:val="0"/>
        <w:iCs w:val="0"/>
        <w:sz w:val="24"/>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4C1043C"/>
    <w:multiLevelType w:val="hybridMultilevel"/>
    <w:tmpl w:val="83F02B1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37627009"/>
    <w:multiLevelType w:val="hybridMultilevel"/>
    <w:tmpl w:val="C7D86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0AA704F"/>
    <w:multiLevelType w:val="hybridMultilevel"/>
    <w:tmpl w:val="4DA6545E"/>
    <w:lvl w:ilvl="0" w:tplc="A86A62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57141D5"/>
    <w:multiLevelType w:val="hybridMultilevel"/>
    <w:tmpl w:val="62AA91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D3E0217"/>
    <w:multiLevelType w:val="hybridMultilevel"/>
    <w:tmpl w:val="7504818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53385437"/>
    <w:multiLevelType w:val="hybridMultilevel"/>
    <w:tmpl w:val="02968B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F24F70"/>
    <w:multiLevelType w:val="hybridMultilevel"/>
    <w:tmpl w:val="B1DCE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1E110F"/>
    <w:multiLevelType w:val="hybridMultilevel"/>
    <w:tmpl w:val="489037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2503C81"/>
    <w:multiLevelType w:val="hybridMultilevel"/>
    <w:tmpl w:val="235CD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2E73D3"/>
    <w:multiLevelType w:val="hybridMultilevel"/>
    <w:tmpl w:val="A2227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7"/>
  </w:num>
  <w:num w:numId="7">
    <w:abstractNumId w:val="4"/>
  </w:num>
  <w:num w:numId="8">
    <w:abstractNumId w:val="8"/>
  </w:num>
  <w:num w:numId="9">
    <w:abstractNumId w:val="16"/>
  </w:num>
  <w:num w:numId="10">
    <w:abstractNumId w:val="9"/>
  </w:num>
  <w:num w:numId="11">
    <w:abstractNumId w:val="2"/>
  </w:num>
  <w:num w:numId="12">
    <w:abstractNumId w:val="15"/>
  </w:num>
  <w:num w:numId="13">
    <w:abstractNumId w:val="10"/>
  </w:num>
  <w:num w:numId="14">
    <w:abstractNumId w:val="0"/>
  </w:num>
  <w:num w:numId="15">
    <w:abstractNumId w:val="3"/>
  </w:num>
  <w:num w:numId="16">
    <w:abstractNumId w:val="5"/>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36406C"/>
    <w:rsid w:val="00003D05"/>
    <w:rsid w:val="00005834"/>
    <w:rsid w:val="00010FEF"/>
    <w:rsid w:val="0002156B"/>
    <w:rsid w:val="000359A2"/>
    <w:rsid w:val="000376F9"/>
    <w:rsid w:val="00056D0B"/>
    <w:rsid w:val="00081B10"/>
    <w:rsid w:val="00085ED7"/>
    <w:rsid w:val="0009715D"/>
    <w:rsid w:val="000A2283"/>
    <w:rsid w:val="000A3E7E"/>
    <w:rsid w:val="000B5E87"/>
    <w:rsid w:val="000E0130"/>
    <w:rsid w:val="000F01E5"/>
    <w:rsid w:val="000F777D"/>
    <w:rsid w:val="00127BC7"/>
    <w:rsid w:val="00135A96"/>
    <w:rsid w:val="0013675A"/>
    <w:rsid w:val="00136D3A"/>
    <w:rsid w:val="001540F4"/>
    <w:rsid w:val="001900FA"/>
    <w:rsid w:val="0019360E"/>
    <w:rsid w:val="00196C13"/>
    <w:rsid w:val="001A5127"/>
    <w:rsid w:val="001B47A0"/>
    <w:rsid w:val="001C0B1D"/>
    <w:rsid w:val="001C0E94"/>
    <w:rsid w:val="001D2BFA"/>
    <w:rsid w:val="001D43B2"/>
    <w:rsid w:val="002177D0"/>
    <w:rsid w:val="002331C2"/>
    <w:rsid w:val="00233A1D"/>
    <w:rsid w:val="0023609A"/>
    <w:rsid w:val="0024517D"/>
    <w:rsid w:val="00257415"/>
    <w:rsid w:val="00261361"/>
    <w:rsid w:val="002653FF"/>
    <w:rsid w:val="00266085"/>
    <w:rsid w:val="00273DBD"/>
    <w:rsid w:val="002772A6"/>
    <w:rsid w:val="002825A4"/>
    <w:rsid w:val="002830AA"/>
    <w:rsid w:val="0028553B"/>
    <w:rsid w:val="002C5CDA"/>
    <w:rsid w:val="002D6D29"/>
    <w:rsid w:val="002E33FE"/>
    <w:rsid w:val="002F6ABA"/>
    <w:rsid w:val="0030606B"/>
    <w:rsid w:val="00311F9E"/>
    <w:rsid w:val="003129B4"/>
    <w:rsid w:val="00317D11"/>
    <w:rsid w:val="003300FF"/>
    <w:rsid w:val="00332E53"/>
    <w:rsid w:val="00337773"/>
    <w:rsid w:val="00350CC1"/>
    <w:rsid w:val="00352D2B"/>
    <w:rsid w:val="0036406C"/>
    <w:rsid w:val="00372822"/>
    <w:rsid w:val="00392A4C"/>
    <w:rsid w:val="003A602C"/>
    <w:rsid w:val="003B23F0"/>
    <w:rsid w:val="003B5193"/>
    <w:rsid w:val="003C5484"/>
    <w:rsid w:val="003E6568"/>
    <w:rsid w:val="003F1A37"/>
    <w:rsid w:val="003F2040"/>
    <w:rsid w:val="00401915"/>
    <w:rsid w:val="00403CD2"/>
    <w:rsid w:val="00405C89"/>
    <w:rsid w:val="0041141A"/>
    <w:rsid w:val="004161D1"/>
    <w:rsid w:val="00450727"/>
    <w:rsid w:val="004543F2"/>
    <w:rsid w:val="00463D4A"/>
    <w:rsid w:val="004721B5"/>
    <w:rsid w:val="00483D1F"/>
    <w:rsid w:val="004D064E"/>
    <w:rsid w:val="004D13DB"/>
    <w:rsid w:val="004D3EA4"/>
    <w:rsid w:val="004F5EAF"/>
    <w:rsid w:val="005042EA"/>
    <w:rsid w:val="00510070"/>
    <w:rsid w:val="00514339"/>
    <w:rsid w:val="00522C02"/>
    <w:rsid w:val="00535119"/>
    <w:rsid w:val="00540160"/>
    <w:rsid w:val="005738FF"/>
    <w:rsid w:val="00576E77"/>
    <w:rsid w:val="00581A27"/>
    <w:rsid w:val="00587CA5"/>
    <w:rsid w:val="00592371"/>
    <w:rsid w:val="005964A7"/>
    <w:rsid w:val="005A5D0D"/>
    <w:rsid w:val="005B4510"/>
    <w:rsid w:val="005B59A0"/>
    <w:rsid w:val="005C3AC8"/>
    <w:rsid w:val="005D38C8"/>
    <w:rsid w:val="005E2996"/>
    <w:rsid w:val="005F1C2C"/>
    <w:rsid w:val="0060130C"/>
    <w:rsid w:val="00605382"/>
    <w:rsid w:val="0062534B"/>
    <w:rsid w:val="00635C1D"/>
    <w:rsid w:val="00667159"/>
    <w:rsid w:val="006735F6"/>
    <w:rsid w:val="00676AE8"/>
    <w:rsid w:val="00684E2D"/>
    <w:rsid w:val="00687F11"/>
    <w:rsid w:val="006A560A"/>
    <w:rsid w:val="006A6823"/>
    <w:rsid w:val="006C0B93"/>
    <w:rsid w:val="006E6542"/>
    <w:rsid w:val="00700D17"/>
    <w:rsid w:val="00711E46"/>
    <w:rsid w:val="00722C9C"/>
    <w:rsid w:val="007361C7"/>
    <w:rsid w:val="00745C41"/>
    <w:rsid w:val="00795B4C"/>
    <w:rsid w:val="00796244"/>
    <w:rsid w:val="007A030A"/>
    <w:rsid w:val="007A4EC5"/>
    <w:rsid w:val="007B6E0B"/>
    <w:rsid w:val="007C60F8"/>
    <w:rsid w:val="007E16D8"/>
    <w:rsid w:val="00802C37"/>
    <w:rsid w:val="00811079"/>
    <w:rsid w:val="00822A06"/>
    <w:rsid w:val="00837ADB"/>
    <w:rsid w:val="008522E2"/>
    <w:rsid w:val="0085555E"/>
    <w:rsid w:val="008A13C7"/>
    <w:rsid w:val="008A19F7"/>
    <w:rsid w:val="008B08D5"/>
    <w:rsid w:val="008D57A8"/>
    <w:rsid w:val="008D6CAB"/>
    <w:rsid w:val="008D6DEA"/>
    <w:rsid w:val="008D7B06"/>
    <w:rsid w:val="008E4CB1"/>
    <w:rsid w:val="008F5966"/>
    <w:rsid w:val="00900934"/>
    <w:rsid w:val="009042C4"/>
    <w:rsid w:val="00905012"/>
    <w:rsid w:val="0094406E"/>
    <w:rsid w:val="00954C0A"/>
    <w:rsid w:val="009724D4"/>
    <w:rsid w:val="00974AC5"/>
    <w:rsid w:val="00975075"/>
    <w:rsid w:val="00983BD1"/>
    <w:rsid w:val="00994EEE"/>
    <w:rsid w:val="00995D9B"/>
    <w:rsid w:val="009C1D36"/>
    <w:rsid w:val="009D595A"/>
    <w:rsid w:val="009F5AB2"/>
    <w:rsid w:val="009F6440"/>
    <w:rsid w:val="00A16EE5"/>
    <w:rsid w:val="00A40187"/>
    <w:rsid w:val="00A4386B"/>
    <w:rsid w:val="00A51749"/>
    <w:rsid w:val="00A576BD"/>
    <w:rsid w:val="00A7668C"/>
    <w:rsid w:val="00A81055"/>
    <w:rsid w:val="00A852B0"/>
    <w:rsid w:val="00A90166"/>
    <w:rsid w:val="00AE0A50"/>
    <w:rsid w:val="00AE2618"/>
    <w:rsid w:val="00AE6597"/>
    <w:rsid w:val="00AF3C8F"/>
    <w:rsid w:val="00B14A19"/>
    <w:rsid w:val="00B14E67"/>
    <w:rsid w:val="00B22ABA"/>
    <w:rsid w:val="00B31BDA"/>
    <w:rsid w:val="00B47682"/>
    <w:rsid w:val="00B512CD"/>
    <w:rsid w:val="00B51FC4"/>
    <w:rsid w:val="00B576CC"/>
    <w:rsid w:val="00B606EB"/>
    <w:rsid w:val="00B64154"/>
    <w:rsid w:val="00B7363B"/>
    <w:rsid w:val="00BA0BA2"/>
    <w:rsid w:val="00BD4657"/>
    <w:rsid w:val="00BE22C5"/>
    <w:rsid w:val="00C02F01"/>
    <w:rsid w:val="00C04AD7"/>
    <w:rsid w:val="00C05C07"/>
    <w:rsid w:val="00C11428"/>
    <w:rsid w:val="00C14073"/>
    <w:rsid w:val="00C23856"/>
    <w:rsid w:val="00C5329E"/>
    <w:rsid w:val="00C65253"/>
    <w:rsid w:val="00C94F7E"/>
    <w:rsid w:val="00CB4524"/>
    <w:rsid w:val="00CD4708"/>
    <w:rsid w:val="00CE2F65"/>
    <w:rsid w:val="00D105A2"/>
    <w:rsid w:val="00D1612E"/>
    <w:rsid w:val="00D27E70"/>
    <w:rsid w:val="00D3403F"/>
    <w:rsid w:val="00D52E65"/>
    <w:rsid w:val="00DA441E"/>
    <w:rsid w:val="00DC4F99"/>
    <w:rsid w:val="00DD402B"/>
    <w:rsid w:val="00DD47C4"/>
    <w:rsid w:val="00DD543D"/>
    <w:rsid w:val="00DD56DB"/>
    <w:rsid w:val="00E12BC5"/>
    <w:rsid w:val="00E150FC"/>
    <w:rsid w:val="00E2721B"/>
    <w:rsid w:val="00E4717E"/>
    <w:rsid w:val="00E51610"/>
    <w:rsid w:val="00E676C2"/>
    <w:rsid w:val="00E91B3F"/>
    <w:rsid w:val="00E91FF9"/>
    <w:rsid w:val="00E922A6"/>
    <w:rsid w:val="00E92350"/>
    <w:rsid w:val="00E9315C"/>
    <w:rsid w:val="00E96B6E"/>
    <w:rsid w:val="00EB09D2"/>
    <w:rsid w:val="00EC1195"/>
    <w:rsid w:val="00EC14EE"/>
    <w:rsid w:val="00ED36BF"/>
    <w:rsid w:val="00F053EA"/>
    <w:rsid w:val="00F25FCB"/>
    <w:rsid w:val="00F27711"/>
    <w:rsid w:val="00F37A94"/>
    <w:rsid w:val="00F37B4D"/>
    <w:rsid w:val="00F42448"/>
    <w:rsid w:val="00F45375"/>
    <w:rsid w:val="00F62843"/>
    <w:rsid w:val="00F76444"/>
    <w:rsid w:val="00F85EE6"/>
    <w:rsid w:val="00F87C89"/>
    <w:rsid w:val="00FA36BB"/>
    <w:rsid w:val="00FD3D14"/>
    <w:rsid w:val="00FD5A6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6C"/>
    <w:pPr>
      <w:ind w:left="720"/>
      <w:contextualSpacing/>
    </w:pPr>
  </w:style>
  <w:style w:type="table" w:styleId="TableGrid">
    <w:name w:val="Table Grid"/>
    <w:basedOn w:val="TableNormal"/>
    <w:uiPriority w:val="59"/>
    <w:rsid w:val="00E12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9315C"/>
    <w:rPr>
      <w:vertAlign w:val="superscript"/>
    </w:rPr>
  </w:style>
  <w:style w:type="paragraph" w:styleId="FootnoteText">
    <w:name w:val="footnote text"/>
    <w:basedOn w:val="Normal"/>
    <w:link w:val="FootnoteTextChar"/>
    <w:rsid w:val="00E931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9315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E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996"/>
  </w:style>
  <w:style w:type="paragraph" w:styleId="Footer">
    <w:name w:val="footer"/>
    <w:basedOn w:val="Normal"/>
    <w:link w:val="FooterChar"/>
    <w:uiPriority w:val="99"/>
    <w:unhideWhenUsed/>
    <w:rsid w:val="005E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6C"/>
    <w:pPr>
      <w:ind w:left="720"/>
      <w:contextualSpacing/>
    </w:pPr>
  </w:style>
  <w:style w:type="table" w:styleId="TableGrid">
    <w:name w:val="Table Grid"/>
    <w:basedOn w:val="TableNormal"/>
    <w:uiPriority w:val="59"/>
    <w:rsid w:val="00E1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9315C"/>
    <w:rPr>
      <w:vertAlign w:val="superscript"/>
    </w:rPr>
  </w:style>
  <w:style w:type="paragraph" w:styleId="FootnoteText">
    <w:name w:val="footnote text"/>
    <w:basedOn w:val="Normal"/>
    <w:link w:val="FootnoteTextChar"/>
    <w:rsid w:val="00E931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9315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E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996"/>
  </w:style>
  <w:style w:type="paragraph" w:styleId="Footer">
    <w:name w:val="footer"/>
    <w:basedOn w:val="Normal"/>
    <w:link w:val="FooterChar"/>
    <w:uiPriority w:val="99"/>
    <w:unhideWhenUsed/>
    <w:rsid w:val="005E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9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633D-B7E4-4058-A7E2-8ED95FC1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Gamini</dc:creator>
  <cp:lastModifiedBy>Bandara</cp:lastModifiedBy>
  <cp:revision>17</cp:revision>
  <cp:lastPrinted>2018-02-12T04:12:00Z</cp:lastPrinted>
  <dcterms:created xsi:type="dcterms:W3CDTF">2018-02-16T08:53:00Z</dcterms:created>
  <dcterms:modified xsi:type="dcterms:W3CDTF">2018-04-02T08:10:00Z</dcterms:modified>
</cp:coreProperties>
</file>