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41" w:rsidRDefault="009B5F53" w:rsidP="004A4DE4">
      <w:pPr>
        <w:pStyle w:val="Heading1"/>
        <w:spacing w:before="0"/>
        <w:jc w:val="both"/>
      </w:pPr>
      <w:r>
        <w:rPr>
          <w:rFonts w:cstheme="minorBidi" w:hint="cs"/>
          <w:cs/>
        </w:rPr>
        <w:t>වීදි ආලෝකකරණය පිළිබඳ මහජන අදහස් විමසීම</w:t>
      </w:r>
    </w:p>
    <w:p w:rsidR="00CE1451" w:rsidRDefault="00CE1451" w:rsidP="007558FA">
      <w:pPr>
        <w:jc w:val="both"/>
      </w:pPr>
    </w:p>
    <w:p w:rsidR="00CE1451" w:rsidRDefault="00BC4C9D" w:rsidP="007558FA">
      <w:pPr>
        <w:jc w:val="both"/>
      </w:pPr>
      <w:r>
        <w:rPr>
          <w:rFonts w:cs="Iskoola Pota" w:hint="cs"/>
          <w:cs/>
        </w:rPr>
        <w:t xml:space="preserve">ශ්‍රී ලංකා මහජන උපයෝගීතා කොමිෂන් සභාව </w:t>
      </w:r>
      <w:r w:rsidR="00406984">
        <w:t>(PUCSL)</w:t>
      </w:r>
      <w:r>
        <w:rPr>
          <w:rFonts w:cstheme="minorBidi" w:hint="cs"/>
          <w:cs/>
        </w:rPr>
        <w:t>, විදුලි කර්මාන්තයේ නියාමකයා වශයෙන් ශ්‍රී ලංකාවේ වීදි ආලෝකකරණය පිළිබද යෝජිත කළමනාකරණ උපායමාර්ගිය පිළිබව මහජන අදහස් ලබා ගැනීමට අපේක්ෂා කරනු ලැබේ.</w:t>
      </w:r>
    </w:p>
    <w:p w:rsidR="0054768F" w:rsidRPr="0054768F" w:rsidRDefault="00BC4C9D" w:rsidP="007558FA">
      <w:pPr>
        <w:jc w:val="both"/>
        <w:rPr>
          <w:rStyle w:val="Strong"/>
        </w:rPr>
      </w:pPr>
      <w:r>
        <w:rPr>
          <w:rStyle w:val="Strong"/>
          <w:rFonts w:cs="Iskoola Pota" w:hint="cs"/>
          <w:cs/>
        </w:rPr>
        <w:t xml:space="preserve">පසුබිම </w:t>
      </w:r>
    </w:p>
    <w:p w:rsidR="00BC4C9D" w:rsidRPr="00EC7F58" w:rsidRDefault="00D8355C" w:rsidP="007558FA">
      <w:pPr>
        <w:jc w:val="both"/>
        <w:rPr>
          <w:rFonts w:cstheme="minorBidi" w:hint="cs"/>
        </w:rPr>
      </w:pPr>
      <w:r>
        <w:rPr>
          <w:rFonts w:cstheme="minorBidi" w:hint="cs"/>
          <w:cs/>
        </w:rPr>
        <w:t xml:space="preserve">වීදි ආලෝකකරණය සඳහා ශ්‍රී ලංකාවේ මුළු විදුලි ඉල්ලුමෙන් 1.5%ක් පමණ පරිභෝජනය වේ. </w:t>
      </w:r>
      <w:r w:rsidR="0007259E">
        <w:rPr>
          <w:rFonts w:cstheme="minorBidi" w:hint="cs"/>
          <w:cs/>
        </w:rPr>
        <w:t xml:space="preserve">ඇස්තමේන්තු කර ඇති </w:t>
      </w:r>
      <w:r w:rsidR="006232C5">
        <w:rPr>
          <w:rFonts w:cstheme="minorBidi" w:hint="cs"/>
          <w:cs/>
        </w:rPr>
        <w:t xml:space="preserve">පරිදි සවි කර ඇති වීදි ලාම්පු </w:t>
      </w:r>
      <w:r w:rsidR="0007259E">
        <w:rPr>
          <w:rFonts w:cstheme="minorBidi" w:hint="cs"/>
          <w:cs/>
        </w:rPr>
        <w:t>700,000ක</w:t>
      </w:r>
      <w:r w:rsidR="006232C5">
        <w:rPr>
          <w:rFonts w:cstheme="minorBidi" w:hint="cs"/>
          <w:cs/>
        </w:rPr>
        <w:t>් අතුරින්</w:t>
      </w:r>
      <w:r w:rsidR="0007259E">
        <w:rPr>
          <w:rFonts w:cstheme="minorBidi" w:hint="cs"/>
          <w:cs/>
        </w:rPr>
        <w:t xml:space="preserve"> වැඩි ප්‍රමාණයක් </w:t>
      </w:r>
      <w:r w:rsidR="006232C5">
        <w:rPr>
          <w:rFonts w:cstheme="minorBidi" w:hint="cs"/>
          <w:cs/>
        </w:rPr>
        <w:t xml:space="preserve">බෙදාහැරීමේ ජාලයේ </w:t>
      </w:r>
      <w:r w:rsidR="0007259E">
        <w:rPr>
          <w:rFonts w:cstheme="minorBidi" w:hint="cs"/>
          <w:cs/>
        </w:rPr>
        <w:t xml:space="preserve">මධ්‍යම </w:t>
      </w:r>
      <w:r w:rsidR="00EC7F58">
        <w:rPr>
          <w:rFonts w:cstheme="minorBidi" w:hint="cs"/>
          <w:cs/>
        </w:rPr>
        <w:t xml:space="preserve">වෝල්ටීයතා </w:t>
      </w:r>
      <w:r w:rsidR="00EC7F58">
        <w:t>(MV)</w:t>
      </w:r>
      <w:r w:rsidR="00EC7F58">
        <w:rPr>
          <w:rFonts w:cstheme="minorBidi" w:hint="cs"/>
          <w:cs/>
        </w:rPr>
        <w:t xml:space="preserve"> හෝ අඩු වෝල්ටීයතා </w:t>
      </w:r>
      <w:r w:rsidR="00EC7F58">
        <w:t>(LV)</w:t>
      </w:r>
      <w:r w:rsidR="006232C5">
        <w:rPr>
          <w:rFonts w:cstheme="minorBidi" w:hint="cs"/>
          <w:cs/>
        </w:rPr>
        <w:t xml:space="preserve"> කණු භාවිතා කර එල්ලා ඇති අතර විශේෂිත ආලෝකකරණ කණු නාගරික ප්‍රදේශවලට සීමා වේ. </w:t>
      </w:r>
      <w:r w:rsidR="00E96780">
        <w:rPr>
          <w:rFonts w:cstheme="minorBidi" w:hint="cs"/>
          <w:cs/>
        </w:rPr>
        <w:t xml:space="preserve">බොහොමයක් වීදි ලාම්පු පළාත් පාලන ආයතන/ නගරසභාවලින් සවි කරන අතර ඇතැම් නෛතික අධිකාරිය ඇති තීරණ ගන්නන් රාශියක් සිටින බැවින් </w:t>
      </w:r>
      <w:r w:rsidR="007A2431">
        <w:rPr>
          <w:rFonts w:cstheme="minorBidi" w:hint="cs"/>
          <w:cs/>
        </w:rPr>
        <w:t xml:space="preserve">සැලසුම් නිර්මාණ සහ ප්‍රමිති සම්පූර්ණයෙන්ම ක්‍රියාත්මක කළ යුතුව ඇත. </w:t>
      </w:r>
      <w:r w:rsidR="00E96780">
        <w:rPr>
          <w:rFonts w:cstheme="minorBidi" w:hint="cs"/>
          <w:cs/>
        </w:rPr>
        <w:t xml:space="preserve"> </w:t>
      </w:r>
      <w:r w:rsidR="00EC7F58">
        <w:rPr>
          <w:rFonts w:cstheme="minorBidi" w:hint="cs"/>
          <w:cs/>
        </w:rPr>
        <w:t xml:space="preserve"> </w:t>
      </w:r>
    </w:p>
    <w:p w:rsidR="00F832FF" w:rsidRDefault="00FB2BED" w:rsidP="00F832FF">
      <w:pPr>
        <w:jc w:val="both"/>
        <w:rPr>
          <w:rFonts w:cs="Iskoola Pota" w:hint="cs"/>
        </w:rPr>
      </w:pPr>
      <w:r>
        <w:rPr>
          <w:rFonts w:cs="Iskoola Pota" w:hint="cs"/>
          <w:cs/>
        </w:rPr>
        <w:t xml:space="preserve">නගර සභා ආඥා පනත මඟින් අදාළ පළාත් පාලන ප්‍රදේශය තුළ වීදි ආලෝකකරණය ආශ්‍රිත අනු-නීති සෑදීම සඳහා </w:t>
      </w:r>
      <w:r w:rsidR="00886644">
        <w:rPr>
          <w:rFonts w:cs="Iskoola Pota" w:hint="cs"/>
          <w:cs/>
        </w:rPr>
        <w:t xml:space="preserve">අවසර ලබා දෙන අතර වීදි ආලෝකකරණයේ පිරිවැය වරිපණම් බදු ගෙවන්නන්ගෙන් අය කර ගැනීමට ද එම ආඥා පනතෙන්ම ඉඩසලසයි. </w:t>
      </w:r>
      <w:r w:rsidR="00EA3DD6">
        <w:rPr>
          <w:rFonts w:cs="Iskoola Pota" w:hint="cs"/>
          <w:cs/>
        </w:rPr>
        <w:t>ජාතික මට්ටමින් ගත් කළ ශ්‍රී ලංකා සුනිත්‍ය බලශක්ති අධිකාරියට ද වීදි ආලෝකකරණය සහ ඒ ආශ්‍රිත බලශක්ති පරිභෝජනය පිළිබඳ ජාතික මට්ටමින් බලපාන ප්‍රමිති සෑදීය හැකිය.</w:t>
      </w:r>
      <w:r w:rsidR="00F832FF">
        <w:rPr>
          <w:rFonts w:cs="Iskoola Pota" w:hint="cs"/>
          <w:cs/>
        </w:rPr>
        <w:t xml:space="preserve"> ප්‍රතිපත්ති සම්පාදන මට්ටමේ දී විදුලිබල හා පුනර්ජනනීය බලශක්ති අමාත්‍යාංශයට </w:t>
      </w:r>
      <w:r w:rsidR="00055ED8">
        <w:t>(MOPRE)</w:t>
      </w:r>
      <w:r w:rsidR="00763390">
        <w:t xml:space="preserve"> </w:t>
      </w:r>
      <w:r w:rsidR="00F832FF">
        <w:rPr>
          <w:rFonts w:cs="Iskoola Pota" w:hint="cs"/>
          <w:cs/>
        </w:rPr>
        <w:t xml:space="preserve">වීදි ආලෝකකරණය ආශ්‍රිත ප්‍රතිපත්ති මට්ටමේ තීරණ ගැනීමට බලය ඇති අතර මේ වන විට ද අමාත්‍යාංශය මඟින් වීදි ආලෝකකරණය සඳහා බලශක්ති පරිභෝජනය පාලනය කරන (ඉල්ලුමෙන් 2%ක්) වීදි ආලෝකකරණය පිළිබඳ චක්‍රලේඛ කීපයක් සහ වීදි ආලෝකකරණ නිර්මාණ සැලසුම් පිළිබඳ පොදු මාර්ගෝපදේශ සමහරක් නිකුත් කර ඇත. </w:t>
      </w:r>
    </w:p>
    <w:p w:rsidR="00A21115" w:rsidRDefault="00CA6405" w:rsidP="00A21115">
      <w:pPr>
        <w:jc w:val="both"/>
      </w:pPr>
      <w:r>
        <w:rPr>
          <w:rFonts w:cs="Iskoola Pota" w:hint="cs"/>
          <w:cs/>
        </w:rPr>
        <w:t xml:space="preserve">විදුලිබල කර්මාන්තයේ නියාමකයා වශයෙන් </w:t>
      </w:r>
      <w:r>
        <w:rPr>
          <w:rFonts w:cs="Iskoola Pota" w:hint="cs"/>
          <w:cs/>
        </w:rPr>
        <w:t>ශ්‍රී ලංකා මහජන උපයෝගීතා කොමිෂන් සභාව</w:t>
      </w:r>
      <w:r>
        <w:rPr>
          <w:rFonts w:cs="Iskoola Pota" w:hint="cs"/>
          <w:cs/>
        </w:rPr>
        <w:t xml:space="preserve"> බෙදාහැරීමේ බලපත්‍රලාභීන් පස් දෙනා සඳහා පොදු වීදි ආලෝකකරණ බලශක්ති පරිභෝජනය සම්බන්ධයෙන් සීමා පණවා ඇත (මුළු ඉල්ලුමෙන් උපරිම 2%ක්) (ලංකා විදුලිබල මණ්ඩලය සතු බලපත්‍ර හතර - ලංකා විදුලිබල මණ්ඩලයේ බෙදාහැරීමේ කලාප හතර සහ ලංකා විදුලි සමාගම - </w:t>
      </w:r>
      <w:r>
        <w:t>LECO</w:t>
      </w:r>
      <w:r>
        <w:rPr>
          <w:rFonts w:cs="Iskoola Pota" w:hint="cs"/>
          <w:cs/>
        </w:rPr>
        <w:t xml:space="preserve"> සතු එක් බලපත්‍රයක්).</w:t>
      </w:r>
      <w:r w:rsidR="009E2745">
        <w:rPr>
          <w:rFonts w:cs="Iskoola Pota" w:hint="cs"/>
          <w:cs/>
        </w:rPr>
        <w:t xml:space="preserve"> වීදි ආලෝකකරණය සඳහා වූ විදුලිබල පරිභෝජනයේ වැඩි ප්‍රමාණයක් පළාත් පාලන ආයතනය මඟින් අය කර ගැනීමක් හෝ පළාත් පාලන ආයතනයට ගෙවීමක් සිදු නොකරන බැවින් එම විදුලි පිරිවැය සාමූහිකව දරනු ලබන විදුලි පාරිභෝගිකයින් මත ඇති බලපෑම පාලනය කිරීම සහ එවැනි සේවා සඳහා ගාස්තු අය කිරීමට හැකි පළාත් පාලන ආයතන බොහොමයක් පිරිවැය දැරීමට නොකැමති නිසා කොමිෂන් සභාවට මෙම සීමාවන් පැණවීමට සිදු විය. කෙසේවුව ද,</w:t>
      </w:r>
      <w:r w:rsidR="00540C5B">
        <w:rPr>
          <w:rFonts w:cs="Iskoola Pota" w:hint="cs"/>
          <w:cs/>
        </w:rPr>
        <w:t xml:space="preserve"> </w:t>
      </w:r>
      <w:r w:rsidR="00A21115">
        <w:rPr>
          <w:rFonts w:cs="Iskoola Pota" w:hint="cs"/>
          <w:cs/>
        </w:rPr>
        <w:t xml:space="preserve">විදුලි ආලෝකකරණය කළමනාකරණය සඳහා සහ පිරිවැය දරනු ලබන විදුලි උපයෝගීතා සමඟ එකඟතාවට පැමිණි පළාත් පාලන ආයතන සුළු සංඛ්‍යාවක් ඇත. මෙයට අමතරව, ජාතික මාර්ග පද්ධතිය සහ අධිවේගී මාර්ගය කළමනාකරණය කරනු ලබන මාර්ග සංවර්ධන අධිකාරිය විශේෂිත වීදි ආලෝකකරණ සවිකිරීම් සඳහා ගිවිසුම්වලට එළැඹ ඇති අතර ඒ අනුව විදුලිය සඳහා ගෙවීම් සිදු කරනු ලැබේ. </w:t>
      </w:r>
    </w:p>
    <w:p w:rsidR="009B3A1F" w:rsidRPr="00A21115" w:rsidRDefault="00A21115" w:rsidP="007558FA">
      <w:pPr>
        <w:jc w:val="both"/>
        <w:rPr>
          <w:rStyle w:val="Strong"/>
          <w:b w:val="0"/>
          <w:bCs w:val="0"/>
        </w:rPr>
      </w:pPr>
      <w:r w:rsidRPr="00A21115">
        <w:rPr>
          <w:rFonts w:cs="Iskoola Pota" w:hint="cs"/>
          <w:b/>
          <w:bCs/>
          <w:cs/>
        </w:rPr>
        <w:t>ගැටළු</w:t>
      </w:r>
    </w:p>
    <w:p w:rsidR="009B3A1F" w:rsidRDefault="00A21115" w:rsidP="009B3A1F">
      <w:pPr>
        <w:pStyle w:val="ListParagraph"/>
        <w:numPr>
          <w:ilvl w:val="0"/>
          <w:numId w:val="2"/>
        </w:numPr>
        <w:jc w:val="both"/>
        <w:rPr>
          <w:rStyle w:val="Strong"/>
          <w:b w:val="0"/>
          <w:bCs w:val="0"/>
        </w:rPr>
      </w:pPr>
      <w:r>
        <w:rPr>
          <w:rStyle w:val="Strong"/>
          <w:rFonts w:cs="Iskoola Pota" w:hint="cs"/>
          <w:b w:val="0"/>
          <w:bCs w:val="0"/>
          <w:cs/>
        </w:rPr>
        <w:t xml:space="preserve">වීදි ආලෝකකරණයේ ප්‍රමාණාත්මකභාවය </w:t>
      </w:r>
    </w:p>
    <w:p w:rsidR="00F169F9" w:rsidRDefault="00F169F9" w:rsidP="009B3A1F">
      <w:pPr>
        <w:ind w:left="360"/>
        <w:jc w:val="both"/>
        <w:rPr>
          <w:rStyle w:val="Strong"/>
          <w:rFonts w:cstheme="minorBidi" w:hint="cs"/>
          <w:b w:val="0"/>
          <w:bCs w:val="0"/>
        </w:rPr>
      </w:pPr>
      <w:r>
        <w:rPr>
          <w:rStyle w:val="Strong"/>
          <w:rFonts w:cstheme="minorBidi" w:hint="cs"/>
          <w:b w:val="0"/>
          <w:bCs w:val="0"/>
          <w:cs/>
        </w:rPr>
        <w:t xml:space="preserve">අනු-නීති ක්‍රියාත්මක කිරීම සඳහා පළාත් පාලන ආයතනවලට නෛතික බලය ඇති බැවින් </w:t>
      </w:r>
      <w:r>
        <w:rPr>
          <w:rStyle w:val="Strong"/>
          <w:rFonts w:cstheme="minorBidi" w:hint="cs"/>
          <w:b w:val="0"/>
          <w:bCs w:val="0"/>
          <w:cs/>
        </w:rPr>
        <w:t xml:space="preserve">ජාතික විදුලි උපයෝගීතා ධාරිතාවෙන් යුක්ත සහ වීදි ආලෝකකරණය සඳහා දැනටමත් ප්‍රමිති ගොඩනඟනු ලැබූව ද </w:t>
      </w:r>
      <w:r>
        <w:rPr>
          <w:rStyle w:val="Strong"/>
          <w:rFonts w:cstheme="minorBidi" w:hint="cs"/>
          <w:b w:val="0"/>
          <w:bCs w:val="0"/>
          <w:cs/>
        </w:rPr>
        <w:t xml:space="preserve">ශ්‍රී ලංකා ප්‍රමිති ආයතනයට, ශ්‍රී ලංකා සුනිත්‍ය බලශක්ති අධිකාරියට, </w:t>
      </w:r>
      <w:r>
        <w:rPr>
          <w:rStyle w:val="Strong"/>
          <w:b w:val="0"/>
          <w:bCs w:val="0"/>
        </w:rPr>
        <w:t xml:space="preserve">MOPRE </w:t>
      </w:r>
      <w:r>
        <w:rPr>
          <w:rStyle w:val="Strong"/>
          <w:rFonts w:cstheme="minorBidi" w:hint="cs"/>
          <w:b w:val="0"/>
          <w:bCs w:val="0"/>
          <w:cs/>
        </w:rPr>
        <w:t xml:space="preserve">හෝ </w:t>
      </w:r>
      <w:r>
        <w:rPr>
          <w:rStyle w:val="Strong"/>
          <w:b w:val="0"/>
          <w:bCs w:val="0"/>
        </w:rPr>
        <w:t>PUCSL</w:t>
      </w:r>
      <w:r>
        <w:rPr>
          <w:rStyle w:val="Strong"/>
          <w:rFonts w:cs="Iskoola Pota" w:hint="cs"/>
          <w:b w:val="0"/>
          <w:bCs w:val="0"/>
          <w:cs/>
        </w:rPr>
        <w:t xml:space="preserve"> කොමිෂන් සභාවට ඒවා සම්පූර්ණයෙන්ම ක්‍රියාත්මක කිරීමට හැකියාවක් නොමැත. </w:t>
      </w:r>
      <w:r w:rsidR="00D21625">
        <w:rPr>
          <w:rStyle w:val="Strong"/>
          <w:rFonts w:cs="Iskoola Pota" w:hint="cs"/>
          <w:b w:val="0"/>
          <w:bCs w:val="0"/>
          <w:cs/>
        </w:rPr>
        <w:t xml:space="preserve">මෙහි ප්‍රතිඵලයක් ලෙස මාර්ග සහ පොදු </w:t>
      </w:r>
      <w:r w:rsidR="00D21625">
        <w:rPr>
          <w:rStyle w:val="Strong"/>
          <w:rFonts w:cs="Iskoola Pota" w:hint="cs"/>
          <w:b w:val="0"/>
          <w:bCs w:val="0"/>
          <w:cs/>
        </w:rPr>
        <w:lastRenderedPageBreak/>
        <w:t xml:space="preserve">ස්ථානවල ආලෝකකරණය දුර්වල තත්ත්වයක පවතින අතර පවතින වීදි ලාම්පු </w:t>
      </w:r>
      <w:r w:rsidR="008355C9">
        <w:rPr>
          <w:rStyle w:val="Strong"/>
          <w:rFonts w:cs="Iskoola Pota" w:hint="cs"/>
          <w:b w:val="0"/>
          <w:bCs w:val="0"/>
          <w:cs/>
        </w:rPr>
        <w:t xml:space="preserve">නිර්මාණ සැලසුම, නඩත්තුව හා මෙහෙයවීම ඉතා දුර්වල මට්ටමක පවතී. </w:t>
      </w:r>
      <w:r w:rsidR="00BD508D">
        <w:rPr>
          <w:rStyle w:val="Strong"/>
          <w:rFonts w:cs="Iskoola Pota" w:hint="cs"/>
          <w:b w:val="0"/>
          <w:bCs w:val="0"/>
          <w:cs/>
        </w:rPr>
        <w:t xml:space="preserve">ජාතික ප්‍රමිති නොමැති වාතාවරණයක් තුළ වීදි ආලෝකකරණය සැපයීමේ දී පළාත් පාලන ආයතන දේශපාලන තීරණ ගැනීම්වලට භාජනය වන අතර එබැවින් බලශක්ති කාර්යක්ෂමතා නිර්මාණ සැලසුම් හා උපකරණ වැනි ප්‍රධාන සාධක </w:t>
      </w:r>
      <w:r w:rsidR="00AF2DDC">
        <w:rPr>
          <w:rStyle w:val="Strong"/>
          <w:rFonts w:cs="Iskoola Pota" w:hint="cs"/>
          <w:b w:val="0"/>
          <w:bCs w:val="0"/>
          <w:cs/>
        </w:rPr>
        <w:t xml:space="preserve">නොසලකා හැරීමක් සිදු වේ. </w:t>
      </w:r>
    </w:p>
    <w:p w:rsidR="007B62C6" w:rsidRDefault="00AF2DDC" w:rsidP="007B62C6">
      <w:pPr>
        <w:pStyle w:val="ListParagraph"/>
        <w:numPr>
          <w:ilvl w:val="0"/>
          <w:numId w:val="2"/>
        </w:numPr>
        <w:jc w:val="both"/>
        <w:rPr>
          <w:rStyle w:val="Strong"/>
          <w:b w:val="0"/>
          <w:bCs w:val="0"/>
        </w:rPr>
      </w:pPr>
      <w:r>
        <w:rPr>
          <w:rStyle w:val="Strong"/>
          <w:rFonts w:cs="Iskoola Pota" w:hint="cs"/>
          <w:b w:val="0"/>
          <w:bCs w:val="0"/>
          <w:cs/>
        </w:rPr>
        <w:t xml:space="preserve">ආරක්ෂාව </w:t>
      </w:r>
      <w:r w:rsidR="00125A08">
        <w:rPr>
          <w:rStyle w:val="Strong"/>
          <w:b w:val="0"/>
          <w:bCs w:val="0"/>
        </w:rPr>
        <w:t xml:space="preserve"> </w:t>
      </w:r>
    </w:p>
    <w:p w:rsidR="005F5099" w:rsidRDefault="001960D7" w:rsidP="005F5099">
      <w:pPr>
        <w:ind w:left="360"/>
        <w:jc w:val="both"/>
        <w:rPr>
          <w:rStyle w:val="Strong"/>
          <w:b w:val="0"/>
          <w:bCs w:val="0"/>
        </w:rPr>
      </w:pPr>
      <w:r>
        <w:rPr>
          <w:rStyle w:val="Strong"/>
          <w:rFonts w:cstheme="minorBidi" w:hint="cs"/>
          <w:b w:val="0"/>
          <w:bCs w:val="0"/>
          <w:cs/>
        </w:rPr>
        <w:t xml:space="preserve">බොහොමයක් වීදි ලාම්පු </w:t>
      </w:r>
      <w:r>
        <w:rPr>
          <w:rFonts w:cstheme="minorBidi" w:hint="cs"/>
          <w:cs/>
        </w:rPr>
        <w:t xml:space="preserve">මධ්‍යම වෝල්ටීයතා </w:t>
      </w:r>
      <w:r>
        <w:t>(MV)</w:t>
      </w:r>
      <w:r>
        <w:rPr>
          <w:rFonts w:cstheme="minorBidi" w:hint="cs"/>
          <w:cs/>
        </w:rPr>
        <w:t xml:space="preserve"> හෝ අඩු වෝල්ටීයතා </w:t>
      </w:r>
      <w:r>
        <w:t>(LV)</w:t>
      </w:r>
      <w:r>
        <w:rPr>
          <w:rFonts w:cstheme="minorBidi" w:hint="cs"/>
          <w:cs/>
        </w:rPr>
        <w:t xml:space="preserve"> කණු භාවිතා කර එල්ලා ඇති</w:t>
      </w:r>
      <w:r>
        <w:rPr>
          <w:rFonts w:cstheme="minorBidi" w:hint="cs"/>
          <w:cs/>
        </w:rPr>
        <w:t xml:space="preserve"> බැවින් උපයෝගීතාවලට අයිතිය සතු වේ. </w:t>
      </w:r>
      <w:r w:rsidR="00092F93">
        <w:rPr>
          <w:rFonts w:cstheme="minorBidi" w:hint="cs"/>
          <w:cs/>
        </w:rPr>
        <w:t xml:space="preserve">උපයෝගීතාවලින් අධීක්ෂණය/ අනුමත කරනු ලබන්නේ නම් මිස </w:t>
      </w:r>
      <w:r>
        <w:rPr>
          <w:rFonts w:cstheme="minorBidi" w:hint="cs"/>
          <w:cs/>
        </w:rPr>
        <w:t>පළාත් පාලන ආයතන සේවකයින්</w:t>
      </w:r>
      <w:r w:rsidR="00092F93">
        <w:rPr>
          <w:rFonts w:cstheme="minorBidi" w:hint="cs"/>
          <w:cs/>
        </w:rPr>
        <w:t xml:space="preserve"> වීදි ලාම්පු</w:t>
      </w:r>
      <w:r>
        <w:rPr>
          <w:rFonts w:cstheme="minorBidi" w:hint="cs"/>
          <w:cs/>
        </w:rPr>
        <w:t xml:space="preserve"> </w:t>
      </w:r>
      <w:r w:rsidR="00092F93">
        <w:rPr>
          <w:rFonts w:cstheme="minorBidi" w:hint="cs"/>
          <w:cs/>
        </w:rPr>
        <w:t xml:space="preserve">සවිකිරීම්, නඩත්තු හෝ මෙහෙයවීම් සඳහා කණුවලට නැඟීම සිදු කරන්නේ නැත. නමුත් </w:t>
      </w:r>
      <w:r w:rsidR="005F5099">
        <w:rPr>
          <w:rFonts w:cstheme="minorBidi" w:hint="cs"/>
          <w:cs/>
        </w:rPr>
        <w:t xml:space="preserve">බොහොමයක් ග්‍රාමීය ප්‍රදේශවල දි ඔවුන් උපයෝගීතාවක අධීක්ෂණය නොමැතිව ඔවුන් එසේ සිදු කරන අතර විදුලි ජාලා සඳහා නග්න සන්නායක භාවිතා කරන බැවින් මෙය විශේෂයෙන්ම ආරක්ෂාව පිළිබඳ අන්තරාදායක තත්ත්වයකි. නියම තත්ත්වය වන්නේ උපයෝගීතා කාර්මික ශිල්පීන් විසින් මෙම වීදි ලාම්පු සවි කිරීම, නඩත්තු කිරීම හා ක්‍රියාත්මක කිරීමයි. </w:t>
      </w:r>
    </w:p>
    <w:p w:rsidR="00125A08" w:rsidRPr="00125A08" w:rsidRDefault="005F5099" w:rsidP="00125A08">
      <w:pPr>
        <w:pStyle w:val="ListParagraph"/>
        <w:numPr>
          <w:ilvl w:val="0"/>
          <w:numId w:val="2"/>
        </w:numPr>
        <w:jc w:val="both"/>
        <w:rPr>
          <w:rStyle w:val="Strong"/>
          <w:b w:val="0"/>
          <w:bCs w:val="0"/>
        </w:rPr>
      </w:pPr>
      <w:r>
        <w:rPr>
          <w:rStyle w:val="Strong"/>
          <w:rFonts w:cs="Iskoola Pota" w:hint="cs"/>
          <w:b w:val="0"/>
          <w:bCs w:val="0"/>
          <w:cs/>
        </w:rPr>
        <w:t xml:space="preserve">කළමනාකරණය </w:t>
      </w:r>
    </w:p>
    <w:p w:rsidR="005F5099" w:rsidRDefault="001C2AA3" w:rsidP="00125A08">
      <w:pPr>
        <w:ind w:left="360"/>
        <w:jc w:val="both"/>
        <w:rPr>
          <w:rStyle w:val="Strong"/>
          <w:rFonts w:cstheme="minorBidi" w:hint="cs"/>
          <w:b w:val="0"/>
          <w:bCs w:val="0"/>
        </w:rPr>
      </w:pPr>
      <w:r>
        <w:rPr>
          <w:rStyle w:val="Strong"/>
          <w:rFonts w:cstheme="minorBidi" w:hint="cs"/>
          <w:b w:val="0"/>
          <w:bCs w:val="0"/>
          <w:cs/>
        </w:rPr>
        <w:t>වීදි ආලෝකකරණය සවිකිරීම, ක්‍රියාත්මක කිරීම හා නඩත්තු කිරීම සඳහා විශේෂිත කාර්ය මණ්ඩලයක් හා අයවැයක් පළාත් පාලන ආයතන සතුව පවතින බැවින් සහ ඔවුන් එම තත්ත්වය පවත්වා ගැනීමට අපේක්ෂා කරන බැවින් මෙහි දී උරුමය පිළිබඳ ගැටළුවක් ද තිබේ. ආරක්ෂාව පිළිබඳ ගැටළු පැවතිය ද වීදි ආලෝකකරණයේ අනන්‍යය කළමනාකරණ ගැටළු</w:t>
      </w:r>
      <w:r w:rsidR="00917B20">
        <w:rPr>
          <w:rStyle w:val="Strong"/>
          <w:rFonts w:cstheme="minorBidi" w:hint="cs"/>
          <w:b w:val="0"/>
          <w:bCs w:val="0"/>
          <w:cs/>
        </w:rPr>
        <w:t xml:space="preserve"> - කළමනාකරණයට අපහසු මහජන පැමිණිලි, දේශපාලන තීරණ ගැනීම්, අතිරේක ශ්‍රම කළමනාකරණය, අතිරේක උපකරණ නඩත්තුව සහ විශේෂයෙන්ම ග්‍රාමීය ප්‍රදේශවල වැනි පළාත් පාලන ආයතන විසින් ගෙවීම් සිදු නොකිරීමට ඇති හැකියාව වැනි කරුණු</w:t>
      </w:r>
      <w:r>
        <w:rPr>
          <w:rStyle w:val="Strong"/>
          <w:rFonts w:cstheme="minorBidi" w:hint="cs"/>
          <w:b w:val="0"/>
          <w:bCs w:val="0"/>
          <w:cs/>
        </w:rPr>
        <w:t xml:space="preserve"> හේතුවෙන් උපයෝගීතා ඒවා භාර ගැනීමට නොකැමති</w:t>
      </w:r>
      <w:r w:rsidR="00917B20">
        <w:rPr>
          <w:rStyle w:val="Strong"/>
          <w:rFonts w:cstheme="minorBidi" w:hint="cs"/>
          <w:b w:val="0"/>
          <w:bCs w:val="0"/>
          <w:cs/>
        </w:rPr>
        <w:t xml:space="preserve"> විය හැකිය.</w:t>
      </w:r>
    </w:p>
    <w:p w:rsidR="00125A08" w:rsidRDefault="00917B20" w:rsidP="00125A08">
      <w:pPr>
        <w:pStyle w:val="ListParagraph"/>
        <w:numPr>
          <w:ilvl w:val="0"/>
          <w:numId w:val="2"/>
        </w:numPr>
        <w:jc w:val="both"/>
      </w:pPr>
      <w:r>
        <w:rPr>
          <w:rFonts w:cs="Iskoola Pota" w:hint="cs"/>
          <w:cs/>
        </w:rPr>
        <w:t xml:space="preserve">පිරිවැය අයකර ගැනීම </w:t>
      </w:r>
    </w:p>
    <w:p w:rsidR="00125A08" w:rsidRDefault="00ED3686" w:rsidP="00125A08">
      <w:pPr>
        <w:ind w:left="360"/>
        <w:jc w:val="both"/>
      </w:pPr>
      <w:r>
        <w:rPr>
          <w:rFonts w:cstheme="minorBidi" w:hint="cs"/>
          <w:cs/>
        </w:rPr>
        <w:t>වීදි ආලෝකකරණය සඳහා විදුලිය පරිභෝජනය වෙනුවෙන් බොහොමයක් පළාත් පාලන ආයතනවලට ගෙවීම් සිදු නොකරන බැවින් විදුලි ආලෝකකරණයේ බලශක්ති සංරක්ෂණය/ කාර්යක්ෂමතා වැඩිදියුණු කිරීම</w:t>
      </w:r>
      <w:r w:rsidR="00266CFD">
        <w:rPr>
          <w:rFonts w:cstheme="minorBidi" w:hint="cs"/>
          <w:cs/>
        </w:rPr>
        <w:t xml:space="preserve"> සඳහා ඇති උනන්දුව ද ඉතා අඩුය. </w:t>
      </w:r>
      <w:r w:rsidR="00913142">
        <w:rPr>
          <w:rFonts w:cstheme="minorBidi" w:hint="cs"/>
          <w:cs/>
        </w:rPr>
        <w:t xml:space="preserve">සාමාන්‍යයෙන් කිසියම් සේවාවක පරිශීලකයින් විසින් ඒ සඳහා ගෙවීමක් කළ යුතු වන අතර වීදි ආලෝකකරණය සම්බන්ධයෙන් ගත් විට, </w:t>
      </w:r>
      <w:r w:rsidR="0097106C">
        <w:rPr>
          <w:rFonts w:cstheme="minorBidi" w:hint="cs"/>
          <w:cs/>
        </w:rPr>
        <w:t>ප්‍රදේශවාසී ජනතාව හෝ මාර්ගය භාවිතා කරන්නන් පරිශීලකයින් වන බැවින් වීදි ආලෝකකරණය සඳහා භාවිතා කරන විදුලිය වෙනුවෙන් ඔවුන් විසින් ගෙවීම් සිදු කළ යුතුය.</w:t>
      </w:r>
      <w:r w:rsidR="00466958">
        <w:rPr>
          <w:rFonts w:cstheme="minorBidi" w:hint="cs"/>
          <w:cs/>
        </w:rPr>
        <w:t xml:space="preserve"> </w:t>
      </w:r>
      <w:r w:rsidR="00A04EC4">
        <w:rPr>
          <w:rFonts w:cstheme="minorBidi" w:hint="cs"/>
          <w:cs/>
        </w:rPr>
        <w:t xml:space="preserve">පළාත් පාලන ආයතන ගාස්තු එක්රැස් කර, වීදි ආලෝකකරණයේ පිරිවැය ආවරණය කර ගැනීමට සුදුසුම ආයතනය වන අතර ඔවුන් අඩු ගාස්තු පදනම, දුර්වල එක්රැස් කිරීමේ යාන්ත්‍රණ, උරුම ගැටළු, විදුලි පරිභෝජනය සඳහා ගෙවීම් කිරීමට පුරුද්දක් නොමැතිවීම වැනි කරුණු හේතුවෙන් එසේ නොකර සිටී. මේ වන විට </w:t>
      </w:r>
      <w:r w:rsidR="00B77AE0">
        <w:rPr>
          <w:rFonts w:cstheme="minorBidi" w:hint="cs"/>
          <w:cs/>
        </w:rPr>
        <w:t xml:space="preserve">ඍජුව සම්බන්ධ නොවන විදුලි පාරිභෝගිකයින් විසින් පිරිවැය දැරීම සිදු වේ. </w:t>
      </w:r>
    </w:p>
    <w:p w:rsidR="00AB033D" w:rsidRDefault="00B77AE0" w:rsidP="00AB033D">
      <w:pPr>
        <w:jc w:val="both"/>
        <w:rPr>
          <w:rStyle w:val="Strong"/>
        </w:rPr>
      </w:pPr>
      <w:r>
        <w:rPr>
          <w:rStyle w:val="Strong"/>
          <w:rFonts w:cstheme="minorBidi" w:hint="cs"/>
          <w:cs/>
        </w:rPr>
        <w:t xml:space="preserve">යෝජිත කළමනාකරණ ක්‍රමවේදය </w:t>
      </w:r>
    </w:p>
    <w:p w:rsidR="00E67112" w:rsidRPr="00E67112" w:rsidRDefault="00E67112" w:rsidP="00EC2C45">
      <w:pPr>
        <w:pStyle w:val="ListParagraph"/>
        <w:numPr>
          <w:ilvl w:val="0"/>
          <w:numId w:val="2"/>
        </w:numPr>
        <w:jc w:val="both"/>
        <w:rPr>
          <w:rStyle w:val="Strong"/>
          <w:rFonts w:hint="cs"/>
          <w:b w:val="0"/>
          <w:bCs w:val="0"/>
        </w:rPr>
      </w:pPr>
      <w:r w:rsidRPr="00E67112">
        <w:rPr>
          <w:rStyle w:val="Strong"/>
          <w:rFonts w:cs="Iskoola Pota" w:hint="cs"/>
          <w:b w:val="0"/>
          <w:bCs w:val="0"/>
          <w:cs/>
        </w:rPr>
        <w:t>ශ්‍රී ලංකා සුනිත්‍ය බලශක්ති අධිකාරිය</w:t>
      </w:r>
      <w:r>
        <w:rPr>
          <w:rStyle w:val="Strong"/>
          <w:rFonts w:cs="Iskoola Pota" w:hint="cs"/>
          <w:b w:val="0"/>
          <w:bCs w:val="0"/>
          <w:cs/>
        </w:rPr>
        <w:t xml:space="preserve"> </w:t>
      </w:r>
      <w:r>
        <w:rPr>
          <w:rStyle w:val="Strong"/>
          <w:b w:val="0"/>
          <w:bCs w:val="0"/>
        </w:rPr>
        <w:t>(SLSEA)</w:t>
      </w:r>
      <w:r>
        <w:rPr>
          <w:rStyle w:val="Strong"/>
          <w:rFonts w:cstheme="minorBidi" w:hint="cs"/>
          <w:b w:val="0"/>
          <w:bCs w:val="0"/>
          <w:cs/>
        </w:rPr>
        <w:t xml:space="preserve"> </w:t>
      </w:r>
      <w:r w:rsidR="00E05A29">
        <w:rPr>
          <w:rStyle w:val="Strong"/>
          <w:rFonts w:cstheme="minorBidi" w:hint="cs"/>
          <w:b w:val="0"/>
          <w:bCs w:val="0"/>
          <w:cs/>
        </w:rPr>
        <w:t xml:space="preserve">මඟින් </w:t>
      </w:r>
      <w:r>
        <w:rPr>
          <w:rStyle w:val="Strong"/>
          <w:b w:val="0"/>
          <w:bCs w:val="0"/>
        </w:rPr>
        <w:t xml:space="preserve">CEB, LECO, PUCSL, SLSI, </w:t>
      </w:r>
      <w:r>
        <w:rPr>
          <w:rStyle w:val="Strong"/>
          <w:rFonts w:cs="Iskoola Pota" w:hint="cs"/>
          <w:b w:val="0"/>
          <w:bCs w:val="0"/>
          <w:cs/>
        </w:rPr>
        <w:t>පළාත් පාලන ආයතන ආදියේ අදහස් විමසා වීදි ආලෝකකරණය පිළිබඳ නිර්මාණ සැලසුම්, සවිකිරීම් සහ නඩත්තුව ආශ්‍රිත තාක්ෂණික ප්‍රමිති සහ නිර්ණායක පැණවිය යුතුය. නව වීදි ආලෝකකරණ සවිකිරීම් සහ දැනට පවතින වීදි ආලෝකකරණ නඩත්තුව සඳහා මෙම ප්‍රමිති අනිවාර්ය කළ යුතුය. (</w:t>
      </w:r>
      <w:r w:rsidR="00E05A29">
        <w:rPr>
          <w:rStyle w:val="Strong"/>
          <w:rFonts w:cs="Iskoola Pota" w:hint="cs"/>
          <w:b w:val="0"/>
          <w:bCs w:val="0"/>
          <w:cs/>
        </w:rPr>
        <w:t xml:space="preserve">මෙම කාර්ය සඳහා </w:t>
      </w:r>
      <w:r>
        <w:rPr>
          <w:rStyle w:val="Strong"/>
          <w:b w:val="0"/>
          <w:bCs w:val="0"/>
        </w:rPr>
        <w:t xml:space="preserve">CEB </w:t>
      </w:r>
      <w:r>
        <w:rPr>
          <w:rStyle w:val="Strong"/>
          <w:rFonts w:cs="Iskoola Pota" w:hint="cs"/>
          <w:b w:val="0"/>
          <w:bCs w:val="0"/>
          <w:cs/>
        </w:rPr>
        <w:t>සහ</w:t>
      </w:r>
      <w:r>
        <w:rPr>
          <w:rStyle w:val="Strong"/>
          <w:b w:val="0"/>
          <w:bCs w:val="0"/>
        </w:rPr>
        <w:t>LECO</w:t>
      </w:r>
      <w:r>
        <w:rPr>
          <w:rStyle w:val="Strong"/>
          <w:rFonts w:cs="Iskoola Pota" w:hint="cs"/>
          <w:b w:val="0"/>
          <w:bCs w:val="0"/>
          <w:cs/>
        </w:rPr>
        <w:t>හි පර්යේෂණ හා සංවර්ධන අංශයේ විශේෂඥ</w:t>
      </w:r>
      <w:r w:rsidR="00E05A29">
        <w:rPr>
          <w:rStyle w:val="Strong"/>
          <w:rFonts w:cs="Iskoola Pota" w:hint="cs"/>
          <w:b w:val="0"/>
          <w:bCs w:val="0"/>
          <w:cs/>
        </w:rPr>
        <w:t xml:space="preserve"> දැනුම උපයෝජනය කළ හැකිය</w:t>
      </w:r>
      <w:r>
        <w:rPr>
          <w:rStyle w:val="Strong"/>
          <w:rFonts w:cs="Iskoola Pota" w:hint="cs"/>
          <w:b w:val="0"/>
          <w:bCs w:val="0"/>
          <w:cs/>
        </w:rPr>
        <w:t>)</w:t>
      </w:r>
      <w:r w:rsidR="00E05A29">
        <w:rPr>
          <w:rStyle w:val="Strong"/>
          <w:rFonts w:cs="Iskoola Pota" w:hint="cs"/>
          <w:b w:val="0"/>
          <w:bCs w:val="0"/>
          <w:cs/>
        </w:rPr>
        <w:t>.</w:t>
      </w:r>
      <w:r>
        <w:rPr>
          <w:rStyle w:val="Strong"/>
          <w:rFonts w:cs="Iskoola Pota" w:hint="cs"/>
          <w:b w:val="0"/>
          <w:bCs w:val="0"/>
          <w:cs/>
        </w:rPr>
        <w:t xml:space="preserve">  </w:t>
      </w:r>
    </w:p>
    <w:p w:rsidR="00DF7C1F" w:rsidRPr="00DF7C1F" w:rsidRDefault="00DF7C1F" w:rsidP="00EC2C45">
      <w:pPr>
        <w:pStyle w:val="ListParagraph"/>
        <w:numPr>
          <w:ilvl w:val="0"/>
          <w:numId w:val="2"/>
        </w:numPr>
        <w:jc w:val="both"/>
        <w:rPr>
          <w:rStyle w:val="Strong"/>
          <w:rFonts w:hint="cs"/>
          <w:b w:val="0"/>
          <w:bCs w:val="0"/>
        </w:rPr>
      </w:pPr>
      <w:r>
        <w:rPr>
          <w:rStyle w:val="Strong"/>
          <w:rFonts w:cs="Iskoola Pota" w:hint="cs"/>
          <w:b w:val="0"/>
          <w:bCs w:val="0"/>
          <w:cs/>
        </w:rPr>
        <w:t xml:space="preserve">වීදි ආලෝකකරණය නිර්මාණ සැලසුම, සවිකිරීම, ක්‍රියාත්මක කිරීම සහ නඩත්තුව උපයෝගීතා </w:t>
      </w:r>
      <w:r w:rsidR="002E7106">
        <w:rPr>
          <w:rStyle w:val="Strong"/>
          <w:b w:val="0"/>
          <w:bCs w:val="0"/>
        </w:rPr>
        <w:t>(CEB/LECO)</w:t>
      </w:r>
      <w:r>
        <w:rPr>
          <w:rStyle w:val="Strong"/>
          <w:rFonts w:cstheme="minorBidi" w:hint="cs"/>
          <w:b w:val="0"/>
          <w:bCs w:val="0"/>
          <w:cs/>
        </w:rPr>
        <w:t xml:space="preserve"> මඟින් සිදු කරනු ලබන අතර උපයෝගීතාවල අධීක්ෂණය යටතේ </w:t>
      </w:r>
      <w:r>
        <w:rPr>
          <w:rStyle w:val="Strong"/>
          <w:rFonts w:cstheme="minorBidi" w:hint="cs"/>
          <w:b w:val="0"/>
          <w:bCs w:val="0"/>
          <w:cs/>
        </w:rPr>
        <w:t xml:space="preserve">ප්‍රමාණවත් තාක්ෂණික </w:t>
      </w:r>
      <w:r>
        <w:rPr>
          <w:rStyle w:val="Strong"/>
          <w:rFonts w:cstheme="minorBidi" w:hint="cs"/>
          <w:b w:val="0"/>
          <w:bCs w:val="0"/>
          <w:cs/>
        </w:rPr>
        <w:lastRenderedPageBreak/>
        <w:t>දැනුම ඇති පළාත් පාලන ආයතනවලට</w:t>
      </w:r>
      <w:r>
        <w:rPr>
          <w:rStyle w:val="Strong"/>
          <w:rFonts w:cstheme="minorBidi" w:hint="cs"/>
          <w:b w:val="0"/>
          <w:bCs w:val="0"/>
          <w:cs/>
        </w:rPr>
        <w:t xml:space="preserve"> සවිකිරිම්, ක්‍රියාත්මක කිරීමේ හා නඩත්තු වැඩ කිරීමට ඉඩ දිය හැකිය. </w:t>
      </w:r>
    </w:p>
    <w:p w:rsidR="00055ED8" w:rsidRDefault="00281A12" w:rsidP="00EC2C45">
      <w:pPr>
        <w:pStyle w:val="ListParagraph"/>
        <w:numPr>
          <w:ilvl w:val="0"/>
          <w:numId w:val="2"/>
        </w:numPr>
        <w:jc w:val="both"/>
        <w:rPr>
          <w:rStyle w:val="Strong"/>
          <w:b w:val="0"/>
          <w:bCs w:val="0"/>
        </w:rPr>
      </w:pPr>
      <w:r>
        <w:rPr>
          <w:rStyle w:val="Strong"/>
          <w:rFonts w:cs="Iskoola Pota" w:hint="cs"/>
          <w:b w:val="0"/>
          <w:bCs w:val="0"/>
          <w:cs/>
        </w:rPr>
        <w:t xml:space="preserve">ප්‍රජාව හා පළාත් පාලන ආයතන මඟින් උපයෝජනවලින් නව සවිකිරීම් ඉල්ලා සිටීම සඳහා සම්මත ක්‍රියාවලියක් ක්‍රියාත්මක කළ යුතුය. අදාළ වීදිය/ මාර්ගය </w:t>
      </w:r>
      <w:r w:rsidR="00236924">
        <w:rPr>
          <w:rStyle w:val="Strong"/>
          <w:b w:val="0"/>
          <w:bCs w:val="0"/>
        </w:rPr>
        <w:t>SLSEA</w:t>
      </w:r>
      <w:r>
        <w:rPr>
          <w:rStyle w:val="Strong"/>
          <w:rFonts w:cstheme="minorBidi" w:hint="cs"/>
          <w:b w:val="0"/>
          <w:bCs w:val="0"/>
          <w:cs/>
        </w:rPr>
        <w:t xml:space="preserve"> මඟින් නියම කළ ජාතික නිර්ණායක සපුරාලන්නේ නම් මිස පළාත් පාලන ආයතනය/ උපයෝජනය මඟින් ඉල්ලා සිටි නව සවිකිරීම් අනුමත කරනු නොලැබේ</w:t>
      </w:r>
      <w:r w:rsidR="00236924">
        <w:rPr>
          <w:rStyle w:val="Strong"/>
          <w:b w:val="0"/>
          <w:bCs w:val="0"/>
        </w:rPr>
        <w:t xml:space="preserve">. </w:t>
      </w:r>
    </w:p>
    <w:p w:rsidR="00055ED8" w:rsidRPr="00EC2C45" w:rsidRDefault="001E4F87" w:rsidP="00EC2C45">
      <w:pPr>
        <w:pStyle w:val="ListParagraph"/>
        <w:numPr>
          <w:ilvl w:val="0"/>
          <w:numId w:val="2"/>
        </w:numPr>
        <w:jc w:val="both"/>
        <w:rPr>
          <w:rStyle w:val="Strong"/>
          <w:b w:val="0"/>
          <w:bCs w:val="0"/>
        </w:rPr>
      </w:pPr>
      <w:r>
        <w:rPr>
          <w:rStyle w:val="Strong"/>
          <w:rFonts w:cs="Iskoola Pota" w:hint="cs"/>
          <w:b w:val="0"/>
          <w:bCs w:val="0"/>
          <w:cs/>
        </w:rPr>
        <w:t xml:space="preserve">විදී ආලෝකකරණය නිර්මාණ සැලසුමේ, සවිකිරිමේ සහ නඩත්තු කිරීමේ පිරිවැය අදාළ පළාත් පාලන ආයතනය හෝ අදාළ පළාත්/ ජාතික මාර්ග සංවර්ධන අධිකාරිය මඟින් දැරිය යුතුය. </w:t>
      </w:r>
      <w:bookmarkStart w:id="0" w:name="_GoBack"/>
      <w:bookmarkEnd w:id="0"/>
    </w:p>
    <w:sectPr w:rsidR="00055ED8" w:rsidRPr="00EC2C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DD" w:rsidRDefault="00532FDD" w:rsidP="004D78C5">
      <w:pPr>
        <w:spacing w:after="0" w:line="240" w:lineRule="auto"/>
      </w:pPr>
      <w:r>
        <w:separator/>
      </w:r>
    </w:p>
  </w:endnote>
  <w:endnote w:type="continuationSeparator" w:id="0">
    <w:p w:rsidR="00532FDD" w:rsidRDefault="00532FDD" w:rsidP="004D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altName w:val="Times New Roman"/>
    <w:panose1 w:val="020B0502040204020203"/>
    <w:charset w:val="00"/>
    <w:family w:val="swiss"/>
    <w:pitch w:val="variable"/>
    <w:sig w:usb0="800000AF" w:usb1="40002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19404"/>
      <w:docPartObj>
        <w:docPartGallery w:val="Page Numbers (Bottom of Page)"/>
        <w:docPartUnique/>
      </w:docPartObj>
    </w:sdtPr>
    <w:sdtEndPr/>
    <w:sdtContent>
      <w:sdt>
        <w:sdtPr>
          <w:id w:val="860082579"/>
          <w:docPartObj>
            <w:docPartGallery w:val="Page Numbers (Top of Page)"/>
            <w:docPartUnique/>
          </w:docPartObj>
        </w:sdtPr>
        <w:sdtEndPr/>
        <w:sdtContent>
          <w:p w:rsidR="00E73B7E" w:rsidRDefault="00E73B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4F8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4F87">
              <w:rPr>
                <w:b/>
                <w:bCs/>
                <w:noProof/>
              </w:rPr>
              <w:t>3</w:t>
            </w:r>
            <w:r>
              <w:rPr>
                <w:b/>
                <w:bCs/>
                <w:sz w:val="24"/>
                <w:szCs w:val="24"/>
              </w:rPr>
              <w:fldChar w:fldCharType="end"/>
            </w:r>
          </w:p>
        </w:sdtContent>
      </w:sdt>
    </w:sdtContent>
  </w:sdt>
  <w:p w:rsidR="00E73B7E" w:rsidRDefault="00E73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DD" w:rsidRDefault="00532FDD" w:rsidP="004D78C5">
      <w:pPr>
        <w:spacing w:after="0" w:line="240" w:lineRule="auto"/>
      </w:pPr>
      <w:r>
        <w:separator/>
      </w:r>
    </w:p>
  </w:footnote>
  <w:footnote w:type="continuationSeparator" w:id="0">
    <w:p w:rsidR="00532FDD" w:rsidRDefault="00532FDD" w:rsidP="004D7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BA1"/>
    <w:multiLevelType w:val="hybridMultilevel"/>
    <w:tmpl w:val="5E64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B87B4B"/>
    <w:multiLevelType w:val="hybridMultilevel"/>
    <w:tmpl w:val="30A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51"/>
    <w:rsid w:val="00055ED8"/>
    <w:rsid w:val="0007259E"/>
    <w:rsid w:val="00092F93"/>
    <w:rsid w:val="00125A08"/>
    <w:rsid w:val="001960D7"/>
    <w:rsid w:val="001C2AA3"/>
    <w:rsid w:val="001E4F87"/>
    <w:rsid w:val="00236924"/>
    <w:rsid w:val="00266CFD"/>
    <w:rsid w:val="00281A12"/>
    <w:rsid w:val="002E7106"/>
    <w:rsid w:val="00406984"/>
    <w:rsid w:val="0044053C"/>
    <w:rsid w:val="00466958"/>
    <w:rsid w:val="004A4DE4"/>
    <w:rsid w:val="004D78C5"/>
    <w:rsid w:val="00532FDD"/>
    <w:rsid w:val="00540C5B"/>
    <w:rsid w:val="0054768F"/>
    <w:rsid w:val="00593E81"/>
    <w:rsid w:val="005F5099"/>
    <w:rsid w:val="006232C5"/>
    <w:rsid w:val="00693B41"/>
    <w:rsid w:val="00700946"/>
    <w:rsid w:val="007558FA"/>
    <w:rsid w:val="00763390"/>
    <w:rsid w:val="007A2431"/>
    <w:rsid w:val="007B62C6"/>
    <w:rsid w:val="0080471A"/>
    <w:rsid w:val="00813AB5"/>
    <w:rsid w:val="008355C9"/>
    <w:rsid w:val="00854975"/>
    <w:rsid w:val="00886644"/>
    <w:rsid w:val="008D721D"/>
    <w:rsid w:val="00913142"/>
    <w:rsid w:val="00917B20"/>
    <w:rsid w:val="0097106C"/>
    <w:rsid w:val="009B3A1F"/>
    <w:rsid w:val="009B5F53"/>
    <w:rsid w:val="009E2745"/>
    <w:rsid w:val="00A04EC4"/>
    <w:rsid w:val="00A21115"/>
    <w:rsid w:val="00AB033D"/>
    <w:rsid w:val="00AF2DDC"/>
    <w:rsid w:val="00B77AE0"/>
    <w:rsid w:val="00BC4C9D"/>
    <w:rsid w:val="00BD15C6"/>
    <w:rsid w:val="00BD508D"/>
    <w:rsid w:val="00C41814"/>
    <w:rsid w:val="00C804FC"/>
    <w:rsid w:val="00CA6405"/>
    <w:rsid w:val="00CB6EC5"/>
    <w:rsid w:val="00CC115F"/>
    <w:rsid w:val="00CE1451"/>
    <w:rsid w:val="00CF35F4"/>
    <w:rsid w:val="00D21625"/>
    <w:rsid w:val="00D8355C"/>
    <w:rsid w:val="00DF7C1F"/>
    <w:rsid w:val="00E05A29"/>
    <w:rsid w:val="00E13A6E"/>
    <w:rsid w:val="00E17C09"/>
    <w:rsid w:val="00E62C75"/>
    <w:rsid w:val="00E67112"/>
    <w:rsid w:val="00E73B7E"/>
    <w:rsid w:val="00E96780"/>
    <w:rsid w:val="00EA3DD6"/>
    <w:rsid w:val="00EC2C45"/>
    <w:rsid w:val="00EC7F58"/>
    <w:rsid w:val="00ED3686"/>
    <w:rsid w:val="00F1404D"/>
    <w:rsid w:val="00F169F9"/>
    <w:rsid w:val="00F832FF"/>
    <w:rsid w:val="00F85154"/>
    <w:rsid w:val="00FB2BE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CE1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1451"/>
    <w:pPr>
      <w:ind w:left="720"/>
      <w:contextualSpacing/>
    </w:pPr>
  </w:style>
  <w:style w:type="character" w:styleId="Strong">
    <w:name w:val="Strong"/>
    <w:basedOn w:val="DefaultParagraphFont"/>
    <w:uiPriority w:val="22"/>
    <w:qFormat/>
    <w:rsid w:val="0054768F"/>
    <w:rPr>
      <w:b/>
      <w:bCs/>
    </w:rPr>
  </w:style>
  <w:style w:type="paragraph" w:styleId="Header">
    <w:name w:val="header"/>
    <w:basedOn w:val="Normal"/>
    <w:link w:val="HeaderChar"/>
    <w:uiPriority w:val="99"/>
    <w:unhideWhenUsed/>
    <w:rsid w:val="004D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8C5"/>
    <w:rPr>
      <w:rFonts w:cs="Arial Unicode MS"/>
    </w:rPr>
  </w:style>
  <w:style w:type="paragraph" w:styleId="Footer">
    <w:name w:val="footer"/>
    <w:basedOn w:val="Normal"/>
    <w:link w:val="FooterChar"/>
    <w:uiPriority w:val="99"/>
    <w:unhideWhenUsed/>
    <w:rsid w:val="004D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8C5"/>
    <w:rPr>
      <w:rFont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CE1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1451"/>
    <w:pPr>
      <w:ind w:left="720"/>
      <w:contextualSpacing/>
    </w:pPr>
  </w:style>
  <w:style w:type="character" w:styleId="Strong">
    <w:name w:val="Strong"/>
    <w:basedOn w:val="DefaultParagraphFont"/>
    <w:uiPriority w:val="22"/>
    <w:qFormat/>
    <w:rsid w:val="0054768F"/>
    <w:rPr>
      <w:b/>
      <w:bCs/>
    </w:rPr>
  </w:style>
  <w:style w:type="paragraph" w:styleId="Header">
    <w:name w:val="header"/>
    <w:basedOn w:val="Normal"/>
    <w:link w:val="HeaderChar"/>
    <w:uiPriority w:val="99"/>
    <w:unhideWhenUsed/>
    <w:rsid w:val="004D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8C5"/>
    <w:rPr>
      <w:rFonts w:cs="Arial Unicode MS"/>
    </w:rPr>
  </w:style>
  <w:style w:type="paragraph" w:styleId="Footer">
    <w:name w:val="footer"/>
    <w:basedOn w:val="Normal"/>
    <w:link w:val="FooterChar"/>
    <w:uiPriority w:val="99"/>
    <w:unhideWhenUsed/>
    <w:rsid w:val="004D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8C5"/>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Kanchana Siriwardena</dc:creator>
  <cp:lastModifiedBy>RIENZIE</cp:lastModifiedBy>
  <cp:revision>45</cp:revision>
  <cp:lastPrinted>2018-01-11T09:48:00Z</cp:lastPrinted>
  <dcterms:created xsi:type="dcterms:W3CDTF">2018-03-28T13:31:00Z</dcterms:created>
  <dcterms:modified xsi:type="dcterms:W3CDTF">2018-03-28T15:41:00Z</dcterms:modified>
</cp:coreProperties>
</file>